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FE11" w14:textId="77777777" w:rsidR="00755F25" w:rsidRPr="009F3ADA" w:rsidRDefault="00755F25" w:rsidP="00755F25">
      <w:pPr>
        <w:spacing w:after="0" w:line="240" w:lineRule="auto"/>
        <w:jc w:val="right"/>
        <w:rPr>
          <w:rFonts w:ascii="Times New Roman" w:eastAsia="Times New Roman" w:hAnsi="Times New Roman" w:cs="Times New Roman"/>
          <w:sz w:val="24"/>
          <w:szCs w:val="24"/>
          <w:lang w:val="ro-RO"/>
        </w:rPr>
      </w:pPr>
      <w:r w:rsidRPr="009F3ADA">
        <w:rPr>
          <w:rFonts w:ascii="Times New Roman" w:eastAsia="Times New Roman" w:hAnsi="Times New Roman" w:cs="Times New Roman"/>
          <w:sz w:val="24"/>
          <w:szCs w:val="24"/>
          <w:lang w:val="ro-RO"/>
        </w:rPr>
        <w:t>UE</w:t>
      </w:r>
    </w:p>
    <w:p w14:paraId="386B9BC2" w14:textId="77777777" w:rsidR="00755F25" w:rsidRPr="009F3ADA" w:rsidRDefault="00755F25" w:rsidP="00755F25">
      <w:pPr>
        <w:spacing w:after="0" w:line="240" w:lineRule="auto"/>
        <w:jc w:val="right"/>
        <w:rPr>
          <w:rFonts w:ascii="Times New Roman" w:eastAsia="Times New Roman" w:hAnsi="Times New Roman" w:cs="Times New Roman"/>
          <w:sz w:val="24"/>
          <w:szCs w:val="24"/>
          <w:lang w:val="ro-RO"/>
        </w:rPr>
      </w:pPr>
    </w:p>
    <w:p w14:paraId="13432331" w14:textId="77777777" w:rsidR="00755F25" w:rsidRPr="009F3ADA" w:rsidRDefault="00755F25" w:rsidP="00755F25">
      <w:pPr>
        <w:spacing w:after="0" w:line="240" w:lineRule="auto"/>
        <w:jc w:val="right"/>
        <w:rPr>
          <w:rFonts w:ascii="Times New Roman" w:eastAsia="Times New Roman" w:hAnsi="Times New Roman" w:cs="Times New Roman"/>
          <w:sz w:val="24"/>
          <w:szCs w:val="24"/>
          <w:lang w:val="ro-RO"/>
        </w:rPr>
      </w:pPr>
      <w:r w:rsidRPr="009F3ADA">
        <w:rPr>
          <w:rFonts w:ascii="Times New Roman" w:eastAsia="Times New Roman" w:hAnsi="Times New Roman" w:cs="Times New Roman"/>
          <w:sz w:val="24"/>
          <w:szCs w:val="24"/>
          <w:lang w:val="ro-RO"/>
        </w:rPr>
        <w:t>Proiect</w:t>
      </w:r>
    </w:p>
    <w:p w14:paraId="1FA0488E" w14:textId="77777777" w:rsidR="00755F25" w:rsidRPr="009F3ADA" w:rsidRDefault="00755F25"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32E540B" w14:textId="77777777" w:rsidR="00755F25" w:rsidRPr="009F3ADA" w:rsidRDefault="00755F25"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3986D6A3" w14:textId="630C1FD7" w:rsidR="00AD2796" w:rsidRPr="009F3ADA"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COMITETUL EXECUTIV</w:t>
      </w:r>
    </w:p>
    <w:p w14:paraId="04E50B5A" w14:textId="77777777" w:rsidR="00AD2796" w:rsidRPr="009F3ADA"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AL BĂNCII NAȚIONALE A MOLDOVEI</w:t>
      </w:r>
    </w:p>
    <w:p w14:paraId="61F130E5" w14:textId="77777777" w:rsidR="00AD2796" w:rsidRPr="009F3ADA"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A6BFB9A" w14:textId="77777777" w:rsidR="002D50F6" w:rsidRPr="009F3ADA"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HOTĂRÂREA nr.</w:t>
      </w:r>
      <w:r w:rsidR="00A00FEF" w:rsidRPr="009F3ADA">
        <w:rPr>
          <w:rFonts w:ascii="Times New Roman" w:eastAsia="Courier New" w:hAnsi="Times New Roman" w:cs="Times New Roman"/>
          <w:b/>
          <w:color w:val="000000"/>
          <w:sz w:val="24"/>
          <w:szCs w:val="24"/>
          <w:lang w:val="ro-RO" w:eastAsia="ro-RO" w:bidi="ro-RO"/>
        </w:rPr>
        <w:t xml:space="preserve"> </w:t>
      </w:r>
      <w:r w:rsidR="002D50F6" w:rsidRPr="009F3ADA">
        <w:rPr>
          <w:rFonts w:ascii="Times New Roman" w:eastAsia="Courier New" w:hAnsi="Times New Roman" w:cs="Times New Roman"/>
          <w:b/>
          <w:color w:val="000000"/>
          <w:sz w:val="24"/>
          <w:szCs w:val="24"/>
          <w:lang w:val="ro-RO" w:eastAsia="ro-RO" w:bidi="ro-RO"/>
        </w:rPr>
        <w:t>____</w:t>
      </w:r>
    </w:p>
    <w:p w14:paraId="422D95E8" w14:textId="662667E0" w:rsidR="00AD2796" w:rsidRPr="009F3ADA" w:rsidRDefault="00A00FEF"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d</w:t>
      </w:r>
      <w:r w:rsidR="00AD2796" w:rsidRPr="009F3ADA">
        <w:rPr>
          <w:rFonts w:ascii="Times New Roman" w:eastAsia="Courier New" w:hAnsi="Times New Roman" w:cs="Times New Roman"/>
          <w:b/>
          <w:color w:val="000000"/>
          <w:sz w:val="24"/>
          <w:szCs w:val="24"/>
          <w:lang w:val="ro-RO" w:eastAsia="ro-RO" w:bidi="ro-RO"/>
        </w:rPr>
        <w:t>in</w:t>
      </w:r>
      <w:r w:rsidRPr="009F3ADA">
        <w:rPr>
          <w:rFonts w:ascii="Times New Roman" w:eastAsia="Courier New" w:hAnsi="Times New Roman" w:cs="Times New Roman"/>
          <w:b/>
          <w:color w:val="000000"/>
          <w:sz w:val="24"/>
          <w:szCs w:val="24"/>
          <w:lang w:val="ro-RO" w:eastAsia="ro-RO" w:bidi="ro-RO"/>
        </w:rPr>
        <w:t xml:space="preserve">  </w:t>
      </w:r>
      <w:r w:rsidR="002D50F6" w:rsidRPr="009F3ADA">
        <w:rPr>
          <w:rFonts w:ascii="Times New Roman" w:eastAsia="Courier New" w:hAnsi="Times New Roman" w:cs="Times New Roman"/>
          <w:b/>
          <w:color w:val="000000"/>
          <w:sz w:val="24"/>
          <w:szCs w:val="24"/>
          <w:lang w:val="ro-RO" w:eastAsia="ro-RO" w:bidi="ro-RO"/>
        </w:rPr>
        <w:t>____________</w:t>
      </w:r>
      <w:r w:rsidRPr="009F3ADA">
        <w:rPr>
          <w:rFonts w:ascii="Times New Roman" w:eastAsia="Courier New" w:hAnsi="Times New Roman" w:cs="Times New Roman"/>
          <w:b/>
          <w:color w:val="000000"/>
          <w:sz w:val="24"/>
          <w:szCs w:val="24"/>
          <w:lang w:val="ro-RO" w:eastAsia="ro-RO" w:bidi="ro-RO"/>
        </w:rPr>
        <w:t xml:space="preserve">  </w:t>
      </w:r>
      <w:r w:rsidR="00AD2796" w:rsidRPr="009F3ADA">
        <w:rPr>
          <w:rFonts w:ascii="Times New Roman" w:eastAsia="Courier New" w:hAnsi="Times New Roman" w:cs="Times New Roman"/>
          <w:b/>
          <w:color w:val="000000"/>
          <w:sz w:val="24"/>
          <w:szCs w:val="24"/>
          <w:lang w:val="ro-RO" w:eastAsia="ro-RO" w:bidi="ro-RO"/>
        </w:rPr>
        <w:t>20</w:t>
      </w:r>
      <w:r w:rsidRPr="009F3ADA">
        <w:rPr>
          <w:rFonts w:ascii="Times New Roman" w:eastAsia="Courier New" w:hAnsi="Times New Roman" w:cs="Times New Roman"/>
          <w:b/>
          <w:color w:val="000000"/>
          <w:sz w:val="24"/>
          <w:szCs w:val="24"/>
          <w:lang w:val="ro-RO" w:eastAsia="ro-RO" w:bidi="ro-RO"/>
        </w:rPr>
        <w:t>2</w:t>
      </w:r>
      <w:r w:rsidR="002D50F6" w:rsidRPr="009F3ADA">
        <w:rPr>
          <w:rFonts w:ascii="Times New Roman" w:eastAsia="Courier New" w:hAnsi="Times New Roman" w:cs="Times New Roman"/>
          <w:b/>
          <w:color w:val="000000"/>
          <w:sz w:val="24"/>
          <w:szCs w:val="24"/>
          <w:lang w:val="ro-RO" w:eastAsia="ro-RO" w:bidi="ro-RO"/>
        </w:rPr>
        <w:t>5</w:t>
      </w:r>
    </w:p>
    <w:p w14:paraId="69DCBC1F" w14:textId="77777777" w:rsidR="00AD2796" w:rsidRPr="009F3ADA" w:rsidRDefault="00AD2796" w:rsidP="00AD2796">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5429DF1B" w14:textId="77777777" w:rsidR="00AD2796" w:rsidRPr="009F3ADA" w:rsidRDefault="00AD2796" w:rsidP="00AD2796">
      <w:pPr>
        <w:spacing w:after="0" w:line="240" w:lineRule="auto"/>
        <w:jc w:val="center"/>
        <w:rPr>
          <w:rFonts w:ascii="Times New Roman" w:eastAsia="Times New Roman" w:hAnsi="Times New Roman" w:cs="Times New Roman"/>
          <w:bCs/>
          <w:sz w:val="24"/>
          <w:szCs w:val="24"/>
          <w:lang w:val="ro-RO"/>
        </w:rPr>
      </w:pPr>
    </w:p>
    <w:p w14:paraId="6560F396" w14:textId="343CC164" w:rsidR="00AD2796" w:rsidRPr="009F3ADA" w:rsidRDefault="00AD2796" w:rsidP="00AD2796">
      <w:pPr>
        <w:spacing w:after="0" w:line="240" w:lineRule="auto"/>
        <w:jc w:val="center"/>
        <w:rPr>
          <w:rFonts w:ascii="Times New Roman" w:eastAsia="Times New Roman" w:hAnsi="Times New Roman" w:cs="Times New Roman"/>
          <w:b/>
          <w:bCs/>
          <w:sz w:val="24"/>
          <w:szCs w:val="24"/>
          <w:lang w:eastAsia="ru-RU"/>
        </w:rPr>
      </w:pPr>
      <w:r w:rsidRPr="009F3ADA">
        <w:rPr>
          <w:rFonts w:ascii="Times New Roman" w:eastAsia="Times New Roman" w:hAnsi="Times New Roman" w:cs="Times New Roman"/>
          <w:b/>
          <w:bCs/>
          <w:sz w:val="24"/>
          <w:szCs w:val="24"/>
          <w:lang w:val="ro-RO" w:eastAsia="ru-RU"/>
        </w:rPr>
        <w:t xml:space="preserve">Pentru </w:t>
      </w:r>
      <w:r w:rsidRPr="009F3ADA">
        <w:rPr>
          <w:rFonts w:ascii="Times New Roman" w:eastAsia="Times New Roman" w:hAnsi="Times New Roman" w:cs="Times New Roman"/>
          <w:b/>
          <w:bCs/>
          <w:sz w:val="24"/>
          <w:szCs w:val="24"/>
          <w:lang w:eastAsia="ru-RU"/>
        </w:rPr>
        <w:t>modific</w:t>
      </w:r>
      <w:r w:rsidR="00F7758C" w:rsidRPr="009F3ADA">
        <w:rPr>
          <w:rFonts w:ascii="Times New Roman" w:eastAsia="Times New Roman" w:hAnsi="Times New Roman" w:cs="Times New Roman"/>
          <w:b/>
          <w:bCs/>
          <w:sz w:val="24"/>
          <w:szCs w:val="24"/>
          <w:lang w:eastAsia="ru-RU"/>
        </w:rPr>
        <w:t>area</w:t>
      </w:r>
      <w:r w:rsidRPr="009F3ADA">
        <w:rPr>
          <w:rFonts w:ascii="Times New Roman" w:eastAsia="Times New Roman" w:hAnsi="Times New Roman" w:cs="Times New Roman"/>
          <w:b/>
          <w:bCs/>
          <w:sz w:val="24"/>
          <w:szCs w:val="24"/>
          <w:lang w:eastAsia="ru-RU"/>
        </w:rPr>
        <w:t xml:space="preserve"> Instrucțiunii cu privire la prezentarea de către bănci a rapoartelor COREP în scopuri de supraveghere</w:t>
      </w:r>
      <w:r w:rsidR="00D03744" w:rsidRPr="009F3ADA">
        <w:rPr>
          <w:rFonts w:ascii="Times New Roman" w:eastAsia="Times New Roman" w:hAnsi="Times New Roman" w:cs="Times New Roman"/>
          <w:b/>
          <w:bCs/>
          <w:sz w:val="24"/>
          <w:szCs w:val="24"/>
          <w:lang w:eastAsia="ru-RU"/>
        </w:rPr>
        <w:t>,</w:t>
      </w:r>
      <w:r w:rsidR="00D03744" w:rsidRPr="009F3ADA">
        <w:rPr>
          <w:rFonts w:ascii="Times New Roman" w:hAnsi="Times New Roman" w:cs="Times New Roman"/>
        </w:rPr>
        <w:t xml:space="preserve"> </w:t>
      </w:r>
      <w:r w:rsidR="00D03744" w:rsidRPr="009F3ADA">
        <w:rPr>
          <w:rFonts w:ascii="Times New Roman" w:eastAsia="Times New Roman" w:hAnsi="Times New Roman" w:cs="Times New Roman"/>
          <w:b/>
          <w:bCs/>
          <w:sz w:val="24"/>
          <w:szCs w:val="24"/>
          <w:lang w:eastAsia="ru-RU"/>
        </w:rPr>
        <w:t>aprobat</w:t>
      </w:r>
      <w:r w:rsidR="007D24B0" w:rsidRPr="009F3ADA">
        <w:rPr>
          <w:rFonts w:ascii="Times New Roman" w:eastAsia="Times New Roman" w:hAnsi="Times New Roman" w:cs="Times New Roman"/>
          <w:b/>
          <w:bCs/>
          <w:sz w:val="24"/>
          <w:szCs w:val="24"/>
          <w:lang w:eastAsia="ru-RU"/>
        </w:rPr>
        <w:t>e</w:t>
      </w:r>
      <w:r w:rsidR="00D03744" w:rsidRPr="009F3ADA">
        <w:rPr>
          <w:rFonts w:ascii="Times New Roman" w:eastAsia="Times New Roman" w:hAnsi="Times New Roman" w:cs="Times New Roman"/>
          <w:b/>
          <w:bCs/>
          <w:sz w:val="24"/>
          <w:szCs w:val="24"/>
          <w:lang w:eastAsia="ru-RU"/>
        </w:rPr>
        <w:t xml:space="preserve"> prin Hotărârea Comitetului executiv al Băncii Naționale a Moldovei nr. 117/2018</w:t>
      </w:r>
      <w:r w:rsidRPr="009F3ADA">
        <w:rPr>
          <w:rFonts w:ascii="Times New Roman" w:eastAsia="Times New Roman" w:hAnsi="Times New Roman" w:cs="Times New Roman"/>
          <w:b/>
          <w:bCs/>
          <w:sz w:val="24"/>
          <w:szCs w:val="24"/>
          <w:lang w:eastAsia="ru-RU"/>
        </w:rPr>
        <w:t xml:space="preserve"> </w:t>
      </w:r>
    </w:p>
    <w:p w14:paraId="1AA7ECDC" w14:textId="04D6DB50" w:rsidR="00EC5AB8" w:rsidRPr="009F3ADA" w:rsidRDefault="00EC5AB8" w:rsidP="00AD2796">
      <w:pPr>
        <w:spacing w:after="0" w:line="240" w:lineRule="auto"/>
        <w:jc w:val="center"/>
        <w:rPr>
          <w:rFonts w:ascii="Times New Roman" w:eastAsia="Times New Roman" w:hAnsi="Times New Roman" w:cs="Times New Roman"/>
          <w:b/>
          <w:bCs/>
          <w:iCs/>
          <w:sz w:val="24"/>
          <w:szCs w:val="24"/>
          <w:lang w:val="ro-RO" w:eastAsia="ru-RU"/>
        </w:rPr>
      </w:pPr>
      <w:r w:rsidRPr="009F3ADA">
        <w:rPr>
          <w:rFonts w:ascii="Times New Roman" w:eastAsia="Times New Roman" w:hAnsi="Times New Roman" w:cs="Times New Roman"/>
          <w:b/>
          <w:bCs/>
          <w:iCs/>
          <w:sz w:val="24"/>
          <w:szCs w:val="24"/>
          <w:lang w:val="ro-RO" w:eastAsia="ru-RU"/>
        </w:rPr>
        <w:t>(</w:t>
      </w:r>
      <w:r w:rsidRPr="009F3ADA">
        <w:rPr>
          <w:rFonts w:ascii="Times New Roman" w:eastAsia="Calibri" w:hAnsi="Times New Roman" w:cs="Times New Roman"/>
          <w:b/>
          <w:bCs/>
          <w:sz w:val="24"/>
          <w:szCs w:val="24"/>
        </w:rPr>
        <w:t xml:space="preserve">riscul de credit al </w:t>
      </w:r>
      <w:proofErr w:type="spellStart"/>
      <w:r w:rsidRPr="009F3ADA">
        <w:rPr>
          <w:rFonts w:ascii="Times New Roman" w:eastAsia="Calibri" w:hAnsi="Times New Roman" w:cs="Times New Roman"/>
          <w:b/>
          <w:bCs/>
          <w:sz w:val="24"/>
          <w:szCs w:val="24"/>
        </w:rPr>
        <w:t>contrapărţii</w:t>
      </w:r>
      <w:proofErr w:type="spellEnd"/>
      <w:r w:rsidRPr="009F3ADA">
        <w:rPr>
          <w:rFonts w:ascii="Times New Roman" w:eastAsia="Calibri" w:hAnsi="Times New Roman" w:cs="Times New Roman"/>
          <w:b/>
          <w:bCs/>
          <w:sz w:val="24"/>
          <w:szCs w:val="24"/>
        </w:rPr>
        <w:t>)</w:t>
      </w:r>
    </w:p>
    <w:p w14:paraId="536DA718" w14:textId="77777777" w:rsidR="00AD2796" w:rsidRPr="009F3ADA" w:rsidRDefault="00AD2796" w:rsidP="00AD2796">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582C6F59" w14:textId="11A83429" w:rsidR="008812A1" w:rsidRPr="009F3ADA" w:rsidRDefault="008812A1" w:rsidP="008812A1">
      <w:pPr>
        <w:widowControl w:val="0"/>
        <w:tabs>
          <w:tab w:val="left" w:pos="1134"/>
        </w:tabs>
        <w:spacing w:after="0" w:line="240" w:lineRule="auto"/>
        <w:jc w:val="both"/>
        <w:rPr>
          <w:rFonts w:ascii="Times New Roman" w:eastAsia="Courier New" w:hAnsi="Times New Roman" w:cs="Times New Roman"/>
          <w:bCs/>
          <w:sz w:val="24"/>
          <w:szCs w:val="24"/>
          <w:lang w:val="ro-RO" w:eastAsia="ru-RU" w:bidi="ro-RO"/>
        </w:rPr>
      </w:pPr>
      <w:r w:rsidRPr="009F3ADA">
        <w:rPr>
          <w:rFonts w:ascii="Times New Roman" w:eastAsia="Courier New" w:hAnsi="Times New Roman" w:cs="Times New Roman"/>
          <w:bCs/>
          <w:sz w:val="24"/>
          <w:szCs w:val="24"/>
          <w:lang w:val="ro-RO" w:eastAsia="ru-RU" w:bidi="ro-RO"/>
        </w:rPr>
        <w:t>Prezenta hotărâre transpune</w:t>
      </w:r>
      <w:r w:rsidRPr="009F3ADA">
        <w:rPr>
          <w:rFonts w:ascii="Times New Roman" w:eastAsia="Courier New" w:hAnsi="Times New Roman" w:cs="Times New Roman"/>
          <w:bCs/>
          <w:color w:val="FF0000"/>
          <w:sz w:val="24"/>
          <w:szCs w:val="24"/>
          <w:lang w:val="ro-RO" w:eastAsia="ru-RU" w:bidi="ro-RO"/>
        </w:rPr>
        <w:t xml:space="preserve"> </w:t>
      </w:r>
      <w:bookmarkStart w:id="0" w:name="_Hlk202282971"/>
      <w:r w:rsidR="00D42919" w:rsidRPr="009F3ADA">
        <w:rPr>
          <w:rFonts w:ascii="Times New Roman" w:eastAsia="Courier New" w:hAnsi="Times New Roman" w:cs="Times New Roman"/>
          <w:bCs/>
          <w:color w:val="000000" w:themeColor="text1"/>
          <w:sz w:val="24"/>
          <w:szCs w:val="24"/>
          <w:lang w:val="ro-RO" w:eastAsia="ru-RU" w:bidi="ro-RO"/>
        </w:rPr>
        <w:t>par</w:t>
      </w:r>
      <w:r w:rsidR="00D42919" w:rsidRPr="009F3ADA">
        <w:rPr>
          <w:rFonts w:ascii="Times New Roman" w:eastAsia="Courier New" w:hAnsi="Times New Roman" w:cs="Times New Roman"/>
          <w:bCs/>
          <w:color w:val="000000" w:themeColor="text1"/>
          <w:sz w:val="24"/>
          <w:szCs w:val="24"/>
          <w:lang w:eastAsia="ru-RU" w:bidi="ro-RO"/>
        </w:rPr>
        <w:t>ț</w:t>
      </w:r>
      <w:proofErr w:type="spellStart"/>
      <w:r w:rsidR="00D42919" w:rsidRPr="009F3ADA">
        <w:rPr>
          <w:rFonts w:ascii="Times New Roman" w:eastAsia="Courier New" w:hAnsi="Times New Roman" w:cs="Times New Roman"/>
          <w:bCs/>
          <w:color w:val="000000" w:themeColor="text1"/>
          <w:sz w:val="24"/>
          <w:szCs w:val="24"/>
          <w:lang w:val="ro-RO" w:eastAsia="ru-RU" w:bidi="ro-RO"/>
        </w:rPr>
        <w:t>ial</w:t>
      </w:r>
      <w:proofErr w:type="spellEnd"/>
      <w:r w:rsidR="00D42919" w:rsidRPr="009F3ADA">
        <w:rPr>
          <w:rFonts w:ascii="Times New Roman" w:eastAsia="Courier New" w:hAnsi="Times New Roman" w:cs="Times New Roman"/>
          <w:bCs/>
          <w:color w:val="000000" w:themeColor="text1"/>
          <w:sz w:val="24"/>
          <w:szCs w:val="24"/>
          <w:lang w:val="ro-RO" w:eastAsia="ru-RU" w:bidi="ro-RO"/>
        </w:rPr>
        <w:t xml:space="preserve"> </w:t>
      </w:r>
      <w:r w:rsidR="007D24B0" w:rsidRPr="009F3ADA">
        <w:rPr>
          <w:rFonts w:ascii="Times New Roman" w:eastAsia="Courier New" w:hAnsi="Times New Roman" w:cs="Times New Roman"/>
          <w:bCs/>
          <w:sz w:val="24"/>
          <w:szCs w:val="24"/>
          <w:lang w:val="ro-RO" w:eastAsia="ru-RU" w:bidi="ro-RO"/>
        </w:rPr>
        <w:t>a</w:t>
      </w:r>
      <w:r w:rsidRPr="009F3ADA">
        <w:rPr>
          <w:rFonts w:ascii="Times New Roman" w:eastAsia="Courier New" w:hAnsi="Times New Roman" w:cs="Times New Roman"/>
          <w:bCs/>
          <w:sz w:val="24"/>
          <w:szCs w:val="24"/>
          <w:lang w:val="ro-RO" w:eastAsia="ru-RU" w:bidi="ro-RO"/>
        </w:rPr>
        <w:t xml:space="preserve">nexa </w:t>
      </w:r>
      <w:r w:rsidR="00CA7922" w:rsidRPr="009F3ADA">
        <w:rPr>
          <w:rFonts w:ascii="Times New Roman" w:eastAsia="Courier New" w:hAnsi="Times New Roman" w:cs="Times New Roman"/>
          <w:bCs/>
          <w:sz w:val="24"/>
          <w:szCs w:val="24"/>
          <w:lang w:val="ro-RO" w:eastAsia="ru-RU" w:bidi="ro-RO"/>
        </w:rPr>
        <w:t>I</w:t>
      </w:r>
      <w:r w:rsidRPr="009F3ADA">
        <w:rPr>
          <w:rFonts w:ascii="Times New Roman" w:eastAsia="Courier New" w:hAnsi="Times New Roman" w:cs="Times New Roman"/>
          <w:bCs/>
          <w:sz w:val="24"/>
          <w:szCs w:val="24"/>
          <w:lang w:val="ro-RO" w:eastAsia="ru-RU" w:bidi="ro-RO"/>
        </w:rPr>
        <w:t xml:space="preserve"> </w:t>
      </w:r>
      <w:r w:rsidR="002C0327" w:rsidRPr="009F3ADA">
        <w:rPr>
          <w:rFonts w:ascii="Times New Roman" w:eastAsia="Courier New" w:hAnsi="Times New Roman" w:cs="Times New Roman"/>
          <w:bCs/>
          <w:sz w:val="24"/>
          <w:szCs w:val="24"/>
          <w:lang w:val="ro-RO" w:eastAsia="ru-RU" w:bidi="ro-RO"/>
        </w:rPr>
        <w:t>din</w:t>
      </w:r>
      <w:r w:rsidRPr="009F3ADA">
        <w:rPr>
          <w:rFonts w:ascii="Times New Roman" w:eastAsia="Courier New" w:hAnsi="Times New Roman" w:cs="Times New Roman"/>
          <w:bCs/>
          <w:sz w:val="24"/>
          <w:szCs w:val="24"/>
          <w:lang w:val="ro-RO" w:eastAsia="ru-RU" w:bidi="ro-RO"/>
        </w:rPr>
        <w:t xml:space="preserve"> </w:t>
      </w:r>
      <w:r w:rsidR="003130AA" w:rsidRPr="009F3ADA">
        <w:rPr>
          <w:rFonts w:ascii="Times New Roman" w:eastAsia="Courier New" w:hAnsi="Times New Roman" w:cs="Times New Roman"/>
          <w:bCs/>
          <w:sz w:val="24"/>
          <w:szCs w:val="24"/>
          <w:lang w:val="ro-RO" w:eastAsia="ru-RU" w:bidi="ro-RO"/>
        </w:rPr>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w:t>
      </w:r>
      <w:bookmarkEnd w:id="0"/>
      <w:r w:rsidR="003130AA" w:rsidRPr="009F3ADA">
        <w:rPr>
          <w:rFonts w:ascii="Times New Roman" w:eastAsia="Courier New" w:hAnsi="Times New Roman" w:cs="Times New Roman"/>
          <w:bCs/>
          <w:sz w:val="24"/>
          <w:szCs w:val="24"/>
          <w:lang w:val="ro-RO" w:eastAsia="ru-RU" w:bidi="ro-RO"/>
        </w:rPr>
        <w:t xml:space="preserve"> (CELEX: </w:t>
      </w:r>
      <w:r w:rsidR="003130AA" w:rsidRPr="009F3ADA">
        <w:rPr>
          <w:rFonts w:ascii="Times New Roman" w:eastAsia="Courier New" w:hAnsi="Times New Roman" w:cs="Times New Roman"/>
          <w:bCs/>
          <w:sz w:val="24"/>
          <w:szCs w:val="24"/>
          <w:lang w:eastAsia="ru-RU" w:bidi="ro-RO"/>
        </w:rPr>
        <w:t>32024R3117</w:t>
      </w:r>
      <w:r w:rsidR="003130AA" w:rsidRPr="009F3ADA">
        <w:rPr>
          <w:rFonts w:ascii="Times New Roman" w:eastAsia="Courier New" w:hAnsi="Times New Roman" w:cs="Times New Roman"/>
          <w:bCs/>
          <w:sz w:val="24"/>
          <w:szCs w:val="24"/>
          <w:lang w:val="ro-RO" w:eastAsia="ru-RU" w:bidi="ro-RO"/>
        </w:rPr>
        <w:t>).</w:t>
      </w:r>
    </w:p>
    <w:p w14:paraId="30B0293F" w14:textId="77777777" w:rsidR="00AD2796" w:rsidRPr="009F3ADA" w:rsidRDefault="00AD2796" w:rsidP="00AD2796">
      <w:pPr>
        <w:tabs>
          <w:tab w:val="left" w:pos="1134"/>
        </w:tabs>
        <w:spacing w:after="0" w:line="240" w:lineRule="auto"/>
        <w:ind w:firstLine="720"/>
        <w:jc w:val="both"/>
        <w:rPr>
          <w:rFonts w:ascii="Times New Roman" w:eastAsia="Times New Roman" w:hAnsi="Times New Roman" w:cs="Times New Roman"/>
          <w:bCs/>
          <w:color w:val="FF0000"/>
          <w:sz w:val="24"/>
          <w:szCs w:val="24"/>
          <w:lang w:val="ro-RO" w:eastAsia="ru-RU"/>
        </w:rPr>
      </w:pPr>
    </w:p>
    <w:p w14:paraId="712B3472" w14:textId="22A5D36F" w:rsidR="00AD2796" w:rsidRPr="009F3ADA" w:rsidRDefault="00AD2796" w:rsidP="00F47751">
      <w:pPr>
        <w:widowControl w:val="0"/>
        <w:tabs>
          <w:tab w:val="left" w:pos="1134"/>
        </w:tabs>
        <w:spacing w:after="0" w:line="240" w:lineRule="auto"/>
        <w:jc w:val="both"/>
        <w:rPr>
          <w:rFonts w:ascii="Times New Roman" w:eastAsia="Courier New" w:hAnsi="Times New Roman" w:cs="Times New Roman"/>
          <w:sz w:val="24"/>
          <w:szCs w:val="24"/>
          <w:lang w:val="ro-RO" w:eastAsia="ru-RU" w:bidi="ro-RO"/>
        </w:rPr>
      </w:pPr>
      <w:r w:rsidRPr="009F3ADA">
        <w:rPr>
          <w:rFonts w:ascii="Times New Roman" w:eastAsia="Courier New" w:hAnsi="Times New Roman" w:cs="Times New Roman"/>
          <w:sz w:val="24"/>
          <w:szCs w:val="24"/>
          <w:lang w:val="ro-RO" w:eastAsia="ru-RU" w:bidi="ro-RO"/>
        </w:rPr>
        <w:t xml:space="preserve">În temeiul </w:t>
      </w:r>
      <w:r w:rsidRPr="009F3ADA">
        <w:rPr>
          <w:rFonts w:ascii="Times New Roman" w:eastAsia="Courier New" w:hAnsi="Times New Roman" w:cs="Times New Roman"/>
          <w:sz w:val="24"/>
          <w:szCs w:val="24"/>
          <w:lang w:eastAsia="ru-RU" w:bidi="ro-RO"/>
        </w:rPr>
        <w:t>art.</w:t>
      </w:r>
      <w:r w:rsidR="00C73250" w:rsidRPr="009F3ADA">
        <w:rPr>
          <w:rFonts w:ascii="Times New Roman" w:eastAsia="Courier New" w:hAnsi="Times New Roman" w:cs="Times New Roman"/>
          <w:sz w:val="24"/>
          <w:szCs w:val="24"/>
          <w:lang w:eastAsia="ru-RU" w:bidi="ro-RO"/>
        </w:rPr>
        <w:t xml:space="preserve"> </w:t>
      </w:r>
      <w:r w:rsidR="000C7C3B" w:rsidRPr="009F3ADA">
        <w:rPr>
          <w:rFonts w:ascii="Times New Roman" w:eastAsia="Courier New" w:hAnsi="Times New Roman" w:cs="Times New Roman"/>
          <w:sz w:val="24"/>
          <w:szCs w:val="24"/>
          <w:lang w:eastAsia="ru-RU" w:bidi="ro-RO"/>
        </w:rPr>
        <w:t>84</w:t>
      </w:r>
      <w:r w:rsidRPr="009F3ADA">
        <w:rPr>
          <w:rFonts w:ascii="Times New Roman" w:eastAsia="Courier New" w:hAnsi="Times New Roman" w:cs="Times New Roman"/>
          <w:sz w:val="24"/>
          <w:szCs w:val="24"/>
          <w:lang w:val="ro-RO" w:eastAsia="ru-RU" w:bidi="ro-RO"/>
        </w:rPr>
        <w:t xml:space="preserve"> din Legea nr.202/2017 privind activitatea băncilor (Monitorul Oficial al Republicii Moldova, 2017, nr.434-439, art.727),</w:t>
      </w:r>
      <w:r w:rsidR="00755F25" w:rsidRPr="009F3ADA">
        <w:rPr>
          <w:rFonts w:ascii="Times New Roman" w:eastAsia="Courier New" w:hAnsi="Times New Roman" w:cs="Times New Roman"/>
          <w:sz w:val="24"/>
          <w:szCs w:val="24"/>
          <w:lang w:val="ro-RO" w:eastAsia="ru-RU" w:bidi="ro-RO"/>
        </w:rPr>
        <w:t xml:space="preserve"> </w:t>
      </w:r>
      <w:r w:rsidRPr="009F3ADA">
        <w:rPr>
          <w:rFonts w:ascii="Times New Roman" w:eastAsia="Courier New" w:hAnsi="Times New Roman" w:cs="Times New Roman"/>
          <w:sz w:val="24"/>
          <w:szCs w:val="24"/>
          <w:lang w:val="ro-RO" w:eastAsia="ru-RU" w:bidi="ro-RO"/>
        </w:rPr>
        <w:t xml:space="preserve">Comitetul executiv al Băncii Naționale a Moldovei </w:t>
      </w:r>
    </w:p>
    <w:p w14:paraId="2187DC19" w14:textId="77777777" w:rsidR="00AD2796" w:rsidRPr="009F3ADA" w:rsidRDefault="00AD2796" w:rsidP="00AD2796">
      <w:pPr>
        <w:widowControl w:val="0"/>
        <w:tabs>
          <w:tab w:val="left" w:pos="1134"/>
        </w:tabs>
        <w:spacing w:after="0" w:line="240" w:lineRule="auto"/>
        <w:jc w:val="both"/>
        <w:rPr>
          <w:rFonts w:ascii="Times New Roman" w:eastAsia="Courier New" w:hAnsi="Times New Roman" w:cs="Times New Roman"/>
          <w:color w:val="000000"/>
          <w:sz w:val="24"/>
          <w:szCs w:val="24"/>
          <w:lang w:val="ro-RO" w:eastAsia="ru-RU" w:bidi="ro-RO"/>
        </w:rPr>
      </w:pPr>
    </w:p>
    <w:p w14:paraId="74136719" w14:textId="77777777" w:rsidR="00AD2796" w:rsidRPr="009F3ADA" w:rsidRDefault="00AD2796" w:rsidP="00AD2796">
      <w:pPr>
        <w:widowControl w:val="0"/>
        <w:tabs>
          <w:tab w:val="left" w:pos="1134"/>
        </w:tabs>
        <w:spacing w:after="0" w:line="240" w:lineRule="auto"/>
        <w:jc w:val="both"/>
        <w:rPr>
          <w:rFonts w:ascii="Times New Roman" w:eastAsia="Courier New" w:hAnsi="Times New Roman" w:cs="Times New Roman"/>
          <w:b/>
          <w:color w:val="000000"/>
          <w:sz w:val="24"/>
          <w:szCs w:val="24"/>
          <w:lang w:val="ro-RO" w:eastAsia="ru-RU" w:bidi="ro-RO"/>
        </w:rPr>
      </w:pPr>
      <w:r w:rsidRPr="009F3ADA">
        <w:rPr>
          <w:rFonts w:ascii="Times New Roman" w:eastAsia="Courier New" w:hAnsi="Times New Roman" w:cs="Times New Roman"/>
          <w:b/>
          <w:color w:val="000000"/>
          <w:sz w:val="24"/>
          <w:szCs w:val="24"/>
          <w:lang w:val="ro-RO" w:eastAsia="ru-RU" w:bidi="ro-RO"/>
        </w:rPr>
        <w:t>HOTĂRĂŞTE:</w:t>
      </w:r>
    </w:p>
    <w:p w14:paraId="3F24363E" w14:textId="77777777" w:rsidR="003D4FD0" w:rsidRPr="009F3ADA" w:rsidRDefault="003D4FD0" w:rsidP="00F47751">
      <w:pPr>
        <w:widowControl w:val="0"/>
        <w:tabs>
          <w:tab w:val="left" w:pos="1134"/>
        </w:tabs>
        <w:spacing w:after="0" w:line="240" w:lineRule="auto"/>
        <w:jc w:val="both"/>
        <w:rPr>
          <w:rFonts w:ascii="Times New Roman" w:eastAsia="Courier New" w:hAnsi="Times New Roman" w:cs="Times New Roman"/>
          <w:bCs/>
          <w:color w:val="000000"/>
          <w:sz w:val="24"/>
          <w:szCs w:val="24"/>
          <w:lang w:val="ro-RO" w:eastAsia="ru-RU" w:bidi="ro-RO"/>
        </w:rPr>
      </w:pPr>
    </w:p>
    <w:p w14:paraId="38E585B0" w14:textId="4B166FFF" w:rsidR="00AD2796" w:rsidRPr="009F3ADA" w:rsidRDefault="00C84366" w:rsidP="002F739C">
      <w:pPr>
        <w:widowControl w:val="0"/>
        <w:tabs>
          <w:tab w:val="left" w:pos="720"/>
        </w:tabs>
        <w:spacing w:after="0" w:line="240" w:lineRule="auto"/>
        <w:ind w:firstLine="426"/>
        <w:contextualSpacing/>
        <w:jc w:val="both"/>
        <w:rPr>
          <w:rFonts w:ascii="Times New Roman" w:eastAsia="Calibri" w:hAnsi="Times New Roman" w:cs="Times New Roman"/>
          <w:sz w:val="24"/>
          <w:szCs w:val="24"/>
          <w:lang w:val="ro-RO"/>
        </w:rPr>
      </w:pPr>
      <w:r w:rsidRPr="009F3ADA">
        <w:rPr>
          <w:rFonts w:ascii="Times New Roman" w:eastAsia="Calibri" w:hAnsi="Times New Roman" w:cs="Times New Roman"/>
          <w:b/>
          <w:bCs/>
          <w:sz w:val="24"/>
          <w:szCs w:val="24"/>
          <w:lang w:val="ro-RO" w:eastAsia="ru-RU"/>
        </w:rPr>
        <w:t>1.</w:t>
      </w:r>
      <w:r w:rsidRPr="009F3ADA">
        <w:rPr>
          <w:rFonts w:ascii="Times New Roman" w:eastAsia="Calibri" w:hAnsi="Times New Roman" w:cs="Times New Roman"/>
          <w:sz w:val="24"/>
          <w:szCs w:val="24"/>
          <w:lang w:val="ro-RO" w:eastAsia="ru-RU"/>
        </w:rPr>
        <w:t xml:space="preserve"> </w:t>
      </w:r>
      <w:r w:rsidR="00AD2796" w:rsidRPr="009F3ADA">
        <w:rPr>
          <w:rFonts w:ascii="Times New Roman" w:eastAsia="Calibri" w:hAnsi="Times New Roman" w:cs="Times New Roman"/>
          <w:sz w:val="24"/>
          <w:szCs w:val="24"/>
          <w:lang w:val="ro-RO" w:eastAsia="ru-RU"/>
        </w:rPr>
        <w:t>Instrucțiunea cu privire la prezentarea de către bănci a rapoartelor COREP în scopuri de supraveghere,</w:t>
      </w:r>
      <w:r w:rsidR="00AD2796" w:rsidRPr="009F3ADA">
        <w:rPr>
          <w:rFonts w:ascii="Times New Roman" w:eastAsia="Calibri" w:hAnsi="Times New Roman" w:cs="Times New Roman"/>
          <w:sz w:val="24"/>
          <w:szCs w:val="24"/>
          <w:lang w:val="ro-RO"/>
        </w:rPr>
        <w:t xml:space="preserve"> aprobată prin Hotărârea Comitetului executiv al Băncii Naționale a Moldovei nr. 117/2018 </w:t>
      </w:r>
      <w:r w:rsidR="00755F25" w:rsidRPr="009F3ADA">
        <w:rPr>
          <w:rFonts w:ascii="Times New Roman" w:eastAsia="Calibri" w:hAnsi="Times New Roman" w:cs="Times New Roman"/>
          <w:sz w:val="24"/>
          <w:szCs w:val="24"/>
          <w:lang w:val="ro-RO"/>
        </w:rPr>
        <w:t xml:space="preserve">(Monitorul Oficial al Republicii Moldova, 2018, nr. 183-194, art. 907), înregistrată la Ministerul </w:t>
      </w:r>
      <w:proofErr w:type="spellStart"/>
      <w:r w:rsidR="00755F25" w:rsidRPr="009F3ADA">
        <w:rPr>
          <w:rFonts w:ascii="Times New Roman" w:eastAsia="Calibri" w:hAnsi="Times New Roman" w:cs="Times New Roman"/>
          <w:sz w:val="24"/>
          <w:szCs w:val="24"/>
          <w:lang w:val="ro-RO"/>
        </w:rPr>
        <w:t>Justiţiei</w:t>
      </w:r>
      <w:proofErr w:type="spellEnd"/>
      <w:r w:rsidR="00755F25" w:rsidRPr="009F3ADA">
        <w:rPr>
          <w:rFonts w:ascii="Times New Roman" w:eastAsia="Calibri" w:hAnsi="Times New Roman" w:cs="Times New Roman"/>
          <w:sz w:val="24"/>
          <w:szCs w:val="24"/>
          <w:lang w:val="ro-RO"/>
        </w:rPr>
        <w:t xml:space="preserve"> al Republicii Moldova cu nr.1337/2018, </w:t>
      </w:r>
      <w:r w:rsidR="00AD2796" w:rsidRPr="009F3ADA">
        <w:rPr>
          <w:rFonts w:ascii="Times New Roman" w:eastAsia="Calibri" w:hAnsi="Times New Roman" w:cs="Times New Roman"/>
          <w:sz w:val="24"/>
          <w:szCs w:val="24"/>
          <w:lang w:val="ro-RO"/>
        </w:rPr>
        <w:t>se modifică după cum urmează:</w:t>
      </w:r>
    </w:p>
    <w:p w14:paraId="2A4C7C0F" w14:textId="221DBA05" w:rsidR="00A86BFD" w:rsidRPr="009F3ADA" w:rsidRDefault="00F46265" w:rsidP="0038037F">
      <w:pPr>
        <w:spacing w:after="0" w:line="240" w:lineRule="auto"/>
        <w:ind w:firstLine="426"/>
        <w:jc w:val="both"/>
        <w:rPr>
          <w:rFonts w:ascii="Times New Roman" w:eastAsia="Calibri" w:hAnsi="Times New Roman" w:cs="Times New Roman"/>
          <w:sz w:val="24"/>
          <w:szCs w:val="24"/>
          <w:lang w:val="en-US"/>
        </w:rPr>
      </w:pPr>
      <w:r w:rsidRPr="009F3ADA">
        <w:rPr>
          <w:rFonts w:ascii="Times New Roman" w:eastAsia="Times New Roman" w:hAnsi="Times New Roman" w:cs="Times New Roman"/>
          <w:sz w:val="24"/>
          <w:szCs w:val="24"/>
          <w:lang w:eastAsia="ro-MD"/>
        </w:rPr>
        <w:t>1</w:t>
      </w:r>
      <w:r w:rsidR="0038037F" w:rsidRPr="009F3ADA">
        <w:rPr>
          <w:rFonts w:ascii="Times New Roman" w:eastAsia="Times New Roman" w:hAnsi="Times New Roman" w:cs="Times New Roman"/>
          <w:sz w:val="24"/>
          <w:szCs w:val="24"/>
          <w:lang w:eastAsia="ro-MD"/>
        </w:rPr>
        <w:t xml:space="preserve">. 1. </w:t>
      </w:r>
      <w:proofErr w:type="spellStart"/>
      <w:r w:rsidR="00A86BFD" w:rsidRPr="009F3ADA">
        <w:rPr>
          <w:rFonts w:ascii="Times New Roman" w:eastAsia="Calibri" w:hAnsi="Times New Roman" w:cs="Times New Roman"/>
          <w:sz w:val="24"/>
          <w:szCs w:val="24"/>
          <w:lang w:val="en-US"/>
        </w:rPr>
        <w:t>Capitolul</w:t>
      </w:r>
      <w:proofErr w:type="spellEnd"/>
      <w:r w:rsidR="00A86BFD" w:rsidRPr="009F3ADA">
        <w:rPr>
          <w:rFonts w:ascii="Times New Roman" w:eastAsia="Calibri" w:hAnsi="Times New Roman" w:cs="Times New Roman"/>
          <w:sz w:val="24"/>
          <w:szCs w:val="24"/>
          <w:lang w:val="en-US"/>
        </w:rPr>
        <w:t xml:space="preserve"> I</w:t>
      </w:r>
      <w:r w:rsidR="0038037F" w:rsidRPr="009F3ADA">
        <w:rPr>
          <w:rFonts w:ascii="Times New Roman" w:eastAsia="Calibri" w:hAnsi="Times New Roman" w:cs="Times New Roman"/>
          <w:sz w:val="24"/>
          <w:szCs w:val="24"/>
          <w:lang w:val="en-US"/>
        </w:rPr>
        <w:t>,</w:t>
      </w:r>
      <w:r w:rsidR="00F850D2" w:rsidRPr="009F3ADA">
        <w:rPr>
          <w:rFonts w:ascii="Times New Roman" w:eastAsia="Calibri" w:hAnsi="Times New Roman" w:cs="Times New Roman"/>
          <w:sz w:val="24"/>
          <w:szCs w:val="24"/>
          <w:lang w:val="en-US"/>
        </w:rPr>
        <w:t xml:space="preserve"> </w:t>
      </w:r>
      <w:proofErr w:type="spellStart"/>
      <w:r w:rsidR="00F850D2" w:rsidRPr="009F3ADA">
        <w:rPr>
          <w:rFonts w:ascii="Times New Roman" w:eastAsia="Calibri" w:hAnsi="Times New Roman" w:cs="Times New Roman"/>
          <w:sz w:val="24"/>
          <w:szCs w:val="24"/>
          <w:lang w:val="en-US"/>
        </w:rPr>
        <w:t>secțiunea</w:t>
      </w:r>
      <w:proofErr w:type="spellEnd"/>
      <w:r w:rsidR="00F850D2" w:rsidRPr="009F3ADA">
        <w:rPr>
          <w:rFonts w:ascii="Times New Roman" w:eastAsia="Calibri" w:hAnsi="Times New Roman" w:cs="Times New Roman"/>
          <w:sz w:val="24"/>
          <w:szCs w:val="24"/>
          <w:lang w:val="en-US"/>
        </w:rPr>
        <w:t xml:space="preserve"> 3,</w:t>
      </w:r>
      <w:r w:rsidR="0038037F" w:rsidRPr="009F3ADA">
        <w:rPr>
          <w:rFonts w:ascii="Times New Roman" w:eastAsia="Calibri" w:hAnsi="Times New Roman" w:cs="Times New Roman"/>
          <w:sz w:val="24"/>
          <w:szCs w:val="24"/>
          <w:lang w:val="en-US"/>
        </w:rPr>
        <w:t xml:space="preserve"> </w:t>
      </w:r>
      <w:bookmarkStart w:id="1" w:name="_Hlk195789365"/>
      <w:proofErr w:type="spellStart"/>
      <w:r w:rsidR="00A86BFD" w:rsidRPr="009F3ADA">
        <w:rPr>
          <w:rFonts w:ascii="Times New Roman" w:eastAsia="Calibri" w:hAnsi="Times New Roman" w:cs="Times New Roman"/>
          <w:sz w:val="24"/>
          <w:szCs w:val="24"/>
          <w:lang w:val="en-US"/>
        </w:rPr>
        <w:t>punctul</w:t>
      </w:r>
      <w:proofErr w:type="spellEnd"/>
      <w:r w:rsidR="00A86BFD" w:rsidRPr="009F3ADA">
        <w:rPr>
          <w:rFonts w:ascii="Times New Roman" w:eastAsia="Calibri" w:hAnsi="Times New Roman" w:cs="Times New Roman"/>
          <w:sz w:val="24"/>
          <w:szCs w:val="24"/>
          <w:lang w:val="en-US"/>
        </w:rPr>
        <w:t xml:space="preserve"> </w:t>
      </w:r>
      <w:r w:rsidR="00CF76F5" w:rsidRPr="009F3ADA">
        <w:rPr>
          <w:rFonts w:ascii="Times New Roman" w:eastAsia="Calibri" w:hAnsi="Times New Roman" w:cs="Times New Roman"/>
          <w:sz w:val="24"/>
          <w:szCs w:val="24"/>
          <w:lang w:val="en-US"/>
        </w:rPr>
        <w:t>14</w:t>
      </w:r>
      <w:r w:rsidR="00A86BFD" w:rsidRPr="009F3ADA">
        <w:rPr>
          <w:rFonts w:ascii="Times New Roman" w:eastAsia="Calibri" w:hAnsi="Times New Roman" w:cs="Times New Roman"/>
          <w:sz w:val="24"/>
          <w:szCs w:val="24"/>
          <w:lang w:val="en-US"/>
        </w:rPr>
        <w:t xml:space="preserve"> se </w:t>
      </w:r>
      <w:proofErr w:type="spellStart"/>
      <w:r w:rsidR="00A86BFD" w:rsidRPr="009F3ADA">
        <w:rPr>
          <w:rFonts w:ascii="Times New Roman" w:eastAsia="Calibri" w:hAnsi="Times New Roman" w:cs="Times New Roman"/>
          <w:sz w:val="24"/>
          <w:szCs w:val="24"/>
          <w:lang w:val="en-US"/>
        </w:rPr>
        <w:t>completează</w:t>
      </w:r>
      <w:proofErr w:type="spellEnd"/>
      <w:r w:rsidR="00A86BFD" w:rsidRPr="009F3ADA">
        <w:rPr>
          <w:rFonts w:ascii="Times New Roman" w:eastAsia="Calibri" w:hAnsi="Times New Roman" w:cs="Times New Roman"/>
          <w:sz w:val="24"/>
          <w:szCs w:val="24"/>
          <w:lang w:val="en-US"/>
        </w:rPr>
        <w:t xml:space="preserve"> cu </w:t>
      </w:r>
      <w:proofErr w:type="spellStart"/>
      <w:r w:rsidR="00A86BFD" w:rsidRPr="009F3ADA">
        <w:rPr>
          <w:rFonts w:ascii="Times New Roman" w:eastAsia="Calibri" w:hAnsi="Times New Roman" w:cs="Times New Roman"/>
          <w:sz w:val="24"/>
          <w:szCs w:val="24"/>
          <w:lang w:val="en-US"/>
        </w:rPr>
        <w:t>subpunctul</w:t>
      </w:r>
      <w:proofErr w:type="spellEnd"/>
      <w:r w:rsidR="00A86BFD" w:rsidRPr="009F3ADA">
        <w:rPr>
          <w:rFonts w:ascii="Times New Roman" w:eastAsia="Calibri" w:hAnsi="Times New Roman" w:cs="Times New Roman"/>
          <w:sz w:val="24"/>
          <w:szCs w:val="24"/>
          <w:lang w:val="en-US"/>
        </w:rPr>
        <w:t xml:space="preserve"> </w:t>
      </w:r>
      <w:r w:rsidR="00CF76F5" w:rsidRPr="009F3ADA">
        <w:rPr>
          <w:rFonts w:ascii="Times New Roman" w:eastAsia="Calibri" w:hAnsi="Times New Roman" w:cs="Times New Roman"/>
          <w:sz w:val="24"/>
          <w:szCs w:val="24"/>
          <w:lang w:val="en-US"/>
        </w:rPr>
        <w:t>8</w:t>
      </w:r>
      <w:r w:rsidR="00A86BFD" w:rsidRPr="009F3ADA">
        <w:rPr>
          <w:rFonts w:ascii="Times New Roman" w:eastAsia="Calibri" w:hAnsi="Times New Roman" w:cs="Times New Roman"/>
          <w:sz w:val="24"/>
          <w:szCs w:val="24"/>
          <w:lang w:val="en-US"/>
        </w:rPr>
        <w:t xml:space="preserve">) </w:t>
      </w:r>
      <w:bookmarkEnd w:id="1"/>
      <w:r w:rsidR="00A86BFD" w:rsidRPr="009F3ADA">
        <w:rPr>
          <w:rFonts w:ascii="Times New Roman" w:eastAsia="Calibri" w:hAnsi="Times New Roman" w:cs="Times New Roman"/>
          <w:sz w:val="24"/>
          <w:szCs w:val="24"/>
          <w:lang w:val="en-US"/>
        </w:rPr>
        <w:t xml:space="preserve">cu </w:t>
      </w:r>
      <w:proofErr w:type="spellStart"/>
      <w:r w:rsidR="00A86BFD" w:rsidRPr="009F3ADA">
        <w:rPr>
          <w:rFonts w:ascii="Times New Roman" w:eastAsia="Calibri" w:hAnsi="Times New Roman" w:cs="Times New Roman"/>
          <w:sz w:val="24"/>
          <w:szCs w:val="24"/>
          <w:lang w:val="en-US"/>
        </w:rPr>
        <w:t>următorul</w:t>
      </w:r>
      <w:proofErr w:type="spellEnd"/>
      <w:r w:rsidR="00A86BFD" w:rsidRPr="009F3ADA">
        <w:rPr>
          <w:rFonts w:ascii="Times New Roman" w:eastAsia="Calibri" w:hAnsi="Times New Roman" w:cs="Times New Roman"/>
          <w:sz w:val="24"/>
          <w:szCs w:val="24"/>
          <w:lang w:val="en-US"/>
        </w:rPr>
        <w:t xml:space="preserve"> </w:t>
      </w:r>
      <w:proofErr w:type="spellStart"/>
      <w:r w:rsidR="00A86BFD" w:rsidRPr="009F3ADA">
        <w:rPr>
          <w:rFonts w:ascii="Times New Roman" w:eastAsia="Calibri" w:hAnsi="Times New Roman" w:cs="Times New Roman"/>
          <w:sz w:val="24"/>
          <w:szCs w:val="24"/>
          <w:lang w:val="en-US"/>
        </w:rPr>
        <w:t>cuprins</w:t>
      </w:r>
      <w:proofErr w:type="spellEnd"/>
      <w:r w:rsidR="00A86BFD" w:rsidRPr="009F3ADA">
        <w:rPr>
          <w:rFonts w:ascii="Times New Roman" w:eastAsia="Calibri" w:hAnsi="Times New Roman" w:cs="Times New Roman"/>
          <w:sz w:val="24"/>
          <w:szCs w:val="24"/>
          <w:lang w:val="en-US"/>
        </w:rPr>
        <w:t>:</w:t>
      </w:r>
    </w:p>
    <w:p w14:paraId="5A2C0FDF" w14:textId="333CEAD7" w:rsidR="00A86BFD" w:rsidRPr="009F3ADA" w:rsidRDefault="00A41046" w:rsidP="00A86BFD">
      <w:pPr>
        <w:tabs>
          <w:tab w:val="left" w:pos="720"/>
        </w:tabs>
        <w:contextualSpacing/>
        <w:rPr>
          <w:rFonts w:ascii="Times New Roman" w:eastAsia="Calibri" w:hAnsi="Times New Roman" w:cs="Times New Roman"/>
          <w:sz w:val="24"/>
          <w:szCs w:val="24"/>
          <w:lang w:val="en-US"/>
        </w:rPr>
      </w:pPr>
      <w:r w:rsidRPr="009F3ADA">
        <w:rPr>
          <w:rFonts w:ascii="Times New Roman" w:eastAsia="Calibri" w:hAnsi="Times New Roman" w:cs="Times New Roman"/>
          <w:sz w:val="24"/>
          <w:szCs w:val="24"/>
        </w:rPr>
        <w:t>„</w:t>
      </w:r>
      <w:r w:rsidR="00CF76F5" w:rsidRPr="009F3ADA">
        <w:rPr>
          <w:rFonts w:ascii="Times New Roman" w:eastAsia="Calibri" w:hAnsi="Times New Roman" w:cs="Times New Roman"/>
          <w:sz w:val="24"/>
          <w:szCs w:val="24"/>
          <w:lang w:val="en-US"/>
        </w:rPr>
        <w:t>8</w:t>
      </w:r>
      <w:r w:rsidR="00A86BFD" w:rsidRPr="009F3ADA">
        <w:rPr>
          <w:rFonts w:ascii="Times New Roman" w:eastAsia="Calibri" w:hAnsi="Times New Roman" w:cs="Times New Roman"/>
          <w:sz w:val="24"/>
          <w:szCs w:val="24"/>
          <w:lang w:val="en-US"/>
        </w:rPr>
        <w:t>)</w:t>
      </w:r>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raportul</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privind</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cerinţele</w:t>
      </w:r>
      <w:proofErr w:type="spellEnd"/>
      <w:r w:rsidR="00CF76F5" w:rsidRPr="009F3ADA">
        <w:rPr>
          <w:rFonts w:ascii="Times New Roman" w:eastAsia="Calibri" w:hAnsi="Times New Roman" w:cs="Times New Roman"/>
          <w:sz w:val="24"/>
          <w:szCs w:val="24"/>
          <w:lang w:val="en-US"/>
        </w:rPr>
        <w:t xml:space="preserve"> de </w:t>
      </w:r>
      <w:proofErr w:type="spellStart"/>
      <w:r w:rsidR="00CF76F5" w:rsidRPr="009F3ADA">
        <w:rPr>
          <w:rFonts w:ascii="Times New Roman" w:eastAsia="Calibri" w:hAnsi="Times New Roman" w:cs="Times New Roman"/>
          <w:sz w:val="24"/>
          <w:szCs w:val="24"/>
          <w:lang w:val="en-US"/>
        </w:rPr>
        <w:t>fonduri</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proprii</w:t>
      </w:r>
      <w:proofErr w:type="spellEnd"/>
      <w:r w:rsidR="00CF76F5" w:rsidRPr="009F3ADA">
        <w:rPr>
          <w:rFonts w:ascii="Times New Roman" w:eastAsia="Calibri" w:hAnsi="Times New Roman" w:cs="Times New Roman"/>
          <w:sz w:val="24"/>
          <w:szCs w:val="24"/>
          <w:lang w:val="en-US"/>
        </w:rPr>
        <w:t xml:space="preserve"> </w:t>
      </w:r>
      <w:proofErr w:type="spellStart"/>
      <w:r w:rsidR="00F850D2" w:rsidRPr="009F3ADA">
        <w:rPr>
          <w:rFonts w:ascii="Times New Roman" w:eastAsia="Calibri" w:hAnsi="Times New Roman" w:cs="Times New Roman"/>
          <w:sz w:val="24"/>
          <w:szCs w:val="24"/>
          <w:lang w:val="en-US"/>
        </w:rPr>
        <w:t>pentru</w:t>
      </w:r>
      <w:proofErr w:type="spellEnd"/>
      <w:r w:rsidR="00F850D2" w:rsidRPr="009F3ADA">
        <w:rPr>
          <w:rFonts w:ascii="Times New Roman" w:eastAsia="Calibri" w:hAnsi="Times New Roman" w:cs="Times New Roman"/>
          <w:sz w:val="24"/>
          <w:szCs w:val="24"/>
          <w:lang w:val="en-US"/>
        </w:rPr>
        <w:t xml:space="preserve"> </w:t>
      </w:r>
      <w:proofErr w:type="spellStart"/>
      <w:r w:rsidR="00F850D2" w:rsidRPr="009F3ADA">
        <w:rPr>
          <w:rFonts w:ascii="Times New Roman" w:eastAsia="Calibri" w:hAnsi="Times New Roman" w:cs="Times New Roman"/>
          <w:sz w:val="24"/>
          <w:szCs w:val="24"/>
          <w:lang w:val="en-US"/>
        </w:rPr>
        <w:t>acoperirea</w:t>
      </w:r>
      <w:proofErr w:type="spellEnd"/>
      <w:r w:rsidR="00F850D2"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riscul</w:t>
      </w:r>
      <w:r w:rsidR="00F850D2" w:rsidRPr="009F3ADA">
        <w:rPr>
          <w:rFonts w:ascii="Times New Roman" w:eastAsia="Calibri" w:hAnsi="Times New Roman" w:cs="Times New Roman"/>
          <w:sz w:val="24"/>
          <w:szCs w:val="24"/>
          <w:lang w:val="en-US"/>
        </w:rPr>
        <w:t>ui</w:t>
      </w:r>
      <w:proofErr w:type="spellEnd"/>
      <w:r w:rsidR="00CF76F5" w:rsidRPr="009F3ADA">
        <w:rPr>
          <w:rFonts w:ascii="Times New Roman" w:eastAsia="Calibri" w:hAnsi="Times New Roman" w:cs="Times New Roman"/>
          <w:sz w:val="24"/>
          <w:szCs w:val="24"/>
          <w:lang w:val="en-US"/>
        </w:rPr>
        <w:t xml:space="preserve"> de credit al </w:t>
      </w:r>
      <w:proofErr w:type="spellStart"/>
      <w:r w:rsidR="00CF76F5" w:rsidRPr="009F3ADA">
        <w:rPr>
          <w:rFonts w:ascii="Times New Roman" w:eastAsia="Calibri" w:hAnsi="Times New Roman" w:cs="Times New Roman"/>
          <w:sz w:val="24"/>
          <w:szCs w:val="24"/>
          <w:lang w:val="en-US"/>
        </w:rPr>
        <w:t>contrapărții</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astfel</w:t>
      </w:r>
      <w:proofErr w:type="spellEnd"/>
      <w:r w:rsidR="00CF76F5" w:rsidRPr="009F3ADA">
        <w:rPr>
          <w:rFonts w:ascii="Times New Roman" w:eastAsia="Calibri" w:hAnsi="Times New Roman" w:cs="Times New Roman"/>
          <w:sz w:val="24"/>
          <w:szCs w:val="24"/>
          <w:lang w:val="en-US"/>
        </w:rPr>
        <w:t xml:space="preserve"> cum </w:t>
      </w:r>
      <w:proofErr w:type="spellStart"/>
      <w:r w:rsidR="00F850D2" w:rsidRPr="009F3ADA">
        <w:rPr>
          <w:rFonts w:ascii="Times New Roman" w:eastAsia="Calibri" w:hAnsi="Times New Roman" w:cs="Times New Roman"/>
          <w:sz w:val="24"/>
          <w:szCs w:val="24"/>
          <w:lang w:val="en-US"/>
        </w:rPr>
        <w:t>este</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specific</w:t>
      </w:r>
      <w:r w:rsidR="00F850D2" w:rsidRPr="009F3ADA">
        <w:rPr>
          <w:rFonts w:ascii="Times New Roman" w:eastAsia="Calibri" w:hAnsi="Times New Roman" w:cs="Times New Roman"/>
          <w:sz w:val="24"/>
          <w:szCs w:val="24"/>
          <w:lang w:val="en-US"/>
        </w:rPr>
        <w:t>at</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în</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formular</w:t>
      </w:r>
      <w:r w:rsidR="00F850D2" w:rsidRPr="009F3ADA">
        <w:rPr>
          <w:rFonts w:ascii="Times New Roman" w:eastAsia="Calibri" w:hAnsi="Times New Roman" w:cs="Times New Roman"/>
          <w:sz w:val="24"/>
          <w:szCs w:val="24"/>
          <w:lang w:val="en-US"/>
        </w:rPr>
        <w:t>e</w:t>
      </w:r>
      <w:r w:rsidR="00CF76F5" w:rsidRPr="009F3ADA">
        <w:rPr>
          <w:rFonts w:ascii="Times New Roman" w:eastAsia="Calibri" w:hAnsi="Times New Roman" w:cs="Times New Roman"/>
          <w:sz w:val="24"/>
          <w:szCs w:val="24"/>
          <w:lang w:val="en-US"/>
        </w:rPr>
        <w:t>l</w:t>
      </w:r>
      <w:r w:rsidR="00F850D2" w:rsidRPr="009F3ADA">
        <w:rPr>
          <w:rFonts w:ascii="Times New Roman" w:eastAsia="Calibri" w:hAnsi="Times New Roman" w:cs="Times New Roman"/>
          <w:sz w:val="24"/>
          <w:szCs w:val="24"/>
          <w:lang w:val="en-US"/>
        </w:rPr>
        <w:t>e</w:t>
      </w:r>
      <w:proofErr w:type="spellEnd"/>
      <w:r w:rsidR="00CF76F5" w:rsidRPr="009F3ADA">
        <w:rPr>
          <w:rFonts w:ascii="Times New Roman" w:eastAsia="Calibri" w:hAnsi="Times New Roman" w:cs="Times New Roman"/>
          <w:sz w:val="24"/>
          <w:szCs w:val="24"/>
          <w:lang w:val="en-US"/>
        </w:rPr>
        <w:t xml:space="preserve"> C 34.01 –</w:t>
      </w:r>
      <w:r w:rsidR="00072C3A" w:rsidRPr="009F3ADA">
        <w:rPr>
          <w:rFonts w:ascii="Times New Roman" w:eastAsia="Calibri" w:hAnsi="Times New Roman" w:cs="Times New Roman"/>
          <w:sz w:val="24"/>
          <w:szCs w:val="24"/>
          <w:lang w:val="en-US"/>
        </w:rPr>
        <w:t xml:space="preserve"> C34.05 </w:t>
      </w:r>
      <w:proofErr w:type="spellStart"/>
      <w:r w:rsidR="00072C3A" w:rsidRPr="009F3ADA">
        <w:rPr>
          <w:rFonts w:ascii="Times New Roman" w:eastAsia="Calibri" w:hAnsi="Times New Roman" w:cs="Times New Roman"/>
          <w:sz w:val="24"/>
          <w:szCs w:val="24"/>
          <w:lang w:val="en-US"/>
        </w:rPr>
        <w:t>și</w:t>
      </w:r>
      <w:proofErr w:type="spellEnd"/>
      <w:r w:rsidR="00072C3A" w:rsidRPr="009F3ADA">
        <w:rPr>
          <w:rFonts w:ascii="Times New Roman" w:eastAsia="Calibri" w:hAnsi="Times New Roman" w:cs="Times New Roman"/>
          <w:sz w:val="24"/>
          <w:szCs w:val="24"/>
          <w:lang w:val="en-US"/>
        </w:rPr>
        <w:t xml:space="preserve"> C 34.08 – </w:t>
      </w:r>
      <w:r w:rsidR="00CF76F5" w:rsidRPr="009F3ADA">
        <w:rPr>
          <w:rFonts w:ascii="Times New Roman" w:eastAsia="Calibri" w:hAnsi="Times New Roman" w:cs="Times New Roman"/>
          <w:sz w:val="24"/>
          <w:szCs w:val="24"/>
          <w:lang w:val="en-US"/>
        </w:rPr>
        <w:t>C</w:t>
      </w:r>
      <w:r w:rsidR="00072C3A" w:rsidRPr="009F3ADA">
        <w:rPr>
          <w:rFonts w:ascii="Times New Roman" w:eastAsia="Calibri" w:hAnsi="Times New Roman" w:cs="Times New Roman"/>
          <w:sz w:val="24"/>
          <w:szCs w:val="24"/>
          <w:lang w:val="en-US"/>
        </w:rPr>
        <w:t xml:space="preserve"> </w:t>
      </w:r>
      <w:r w:rsidR="00CF76F5" w:rsidRPr="009F3ADA">
        <w:rPr>
          <w:rFonts w:ascii="Times New Roman" w:eastAsia="Calibri" w:hAnsi="Times New Roman" w:cs="Times New Roman"/>
          <w:sz w:val="24"/>
          <w:szCs w:val="24"/>
          <w:lang w:val="en-US"/>
        </w:rPr>
        <w:t>34.1</w:t>
      </w:r>
      <w:r w:rsidR="0045015B" w:rsidRPr="009F3ADA">
        <w:rPr>
          <w:rFonts w:ascii="Times New Roman" w:eastAsia="Calibri" w:hAnsi="Times New Roman" w:cs="Times New Roman"/>
          <w:sz w:val="24"/>
          <w:szCs w:val="24"/>
          <w:lang w:val="en-US"/>
        </w:rPr>
        <w:t>0</w:t>
      </w:r>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anexa</w:t>
      </w:r>
      <w:proofErr w:type="spellEnd"/>
      <w:r w:rsidR="00CF76F5" w:rsidRPr="009F3ADA">
        <w:rPr>
          <w:rFonts w:ascii="Times New Roman" w:eastAsia="Calibri" w:hAnsi="Times New Roman" w:cs="Times New Roman"/>
          <w:sz w:val="24"/>
          <w:szCs w:val="24"/>
          <w:lang w:val="en-US"/>
        </w:rPr>
        <w:t xml:space="preserve"> 10</w:t>
      </w:r>
      <w:r w:rsidR="00CF76F5" w:rsidRPr="009F3ADA">
        <w:rPr>
          <w:rFonts w:ascii="Times New Roman" w:eastAsia="Calibri" w:hAnsi="Times New Roman" w:cs="Times New Roman"/>
          <w:sz w:val="24"/>
          <w:szCs w:val="24"/>
          <w:vertAlign w:val="superscript"/>
          <w:lang w:val="en-US"/>
        </w:rPr>
        <w:t>1.1</w:t>
      </w:r>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în</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conformitate</w:t>
      </w:r>
      <w:proofErr w:type="spellEnd"/>
      <w:r w:rsidR="00CF76F5" w:rsidRPr="009F3ADA">
        <w:rPr>
          <w:rFonts w:ascii="Times New Roman" w:eastAsia="Calibri" w:hAnsi="Times New Roman" w:cs="Times New Roman"/>
          <w:sz w:val="24"/>
          <w:szCs w:val="24"/>
          <w:lang w:val="en-US"/>
        </w:rPr>
        <w:t xml:space="preserve"> cu </w:t>
      </w:r>
      <w:proofErr w:type="spellStart"/>
      <w:r w:rsidR="00CF76F5" w:rsidRPr="009F3ADA">
        <w:rPr>
          <w:rFonts w:ascii="Times New Roman" w:eastAsia="Calibri" w:hAnsi="Times New Roman" w:cs="Times New Roman"/>
          <w:sz w:val="24"/>
          <w:szCs w:val="24"/>
          <w:lang w:val="en-US"/>
        </w:rPr>
        <w:t>instrucţiunile</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aferente</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completării</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acest</w:t>
      </w:r>
      <w:r w:rsidR="00F850D2" w:rsidRPr="009F3ADA">
        <w:rPr>
          <w:rFonts w:ascii="Times New Roman" w:eastAsia="Calibri" w:hAnsi="Times New Roman" w:cs="Times New Roman"/>
          <w:sz w:val="24"/>
          <w:szCs w:val="24"/>
          <w:lang w:val="en-US"/>
        </w:rPr>
        <w:t>ora</w:t>
      </w:r>
      <w:proofErr w:type="spellEnd"/>
      <w:r w:rsidR="00CF76F5" w:rsidRPr="009F3ADA">
        <w:rPr>
          <w:rFonts w:ascii="Times New Roman" w:eastAsia="Calibri" w:hAnsi="Times New Roman" w:cs="Times New Roman"/>
          <w:sz w:val="24"/>
          <w:szCs w:val="24"/>
          <w:lang w:val="en-US"/>
        </w:rPr>
        <w:t xml:space="preserve"> – cu o </w:t>
      </w:r>
      <w:proofErr w:type="spellStart"/>
      <w:r w:rsidR="00CF76F5" w:rsidRPr="009F3ADA">
        <w:rPr>
          <w:rFonts w:ascii="Times New Roman" w:eastAsia="Calibri" w:hAnsi="Times New Roman" w:cs="Times New Roman"/>
          <w:sz w:val="24"/>
          <w:szCs w:val="24"/>
          <w:lang w:val="en-US"/>
        </w:rPr>
        <w:t>frecvenţă</w:t>
      </w:r>
      <w:proofErr w:type="spellEnd"/>
      <w:r w:rsidR="00CF76F5" w:rsidRPr="009F3ADA">
        <w:rPr>
          <w:rFonts w:ascii="Times New Roman" w:eastAsia="Calibri" w:hAnsi="Times New Roman" w:cs="Times New Roman"/>
          <w:sz w:val="24"/>
          <w:szCs w:val="24"/>
          <w:lang w:val="en-US"/>
        </w:rPr>
        <w:t xml:space="preserve"> </w:t>
      </w:r>
      <w:proofErr w:type="spellStart"/>
      <w:r w:rsidR="00CF76F5" w:rsidRPr="009F3ADA">
        <w:rPr>
          <w:rFonts w:ascii="Times New Roman" w:eastAsia="Calibri" w:hAnsi="Times New Roman" w:cs="Times New Roman"/>
          <w:sz w:val="24"/>
          <w:szCs w:val="24"/>
          <w:lang w:val="en-US"/>
        </w:rPr>
        <w:t>trimestrială</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Formularul</w:t>
      </w:r>
      <w:proofErr w:type="spellEnd"/>
      <w:r w:rsidR="00072C3A" w:rsidRPr="009F3ADA">
        <w:rPr>
          <w:rFonts w:ascii="Times New Roman" w:eastAsia="Calibri" w:hAnsi="Times New Roman" w:cs="Times New Roman"/>
          <w:sz w:val="24"/>
          <w:szCs w:val="24"/>
          <w:lang w:val="en-US"/>
        </w:rPr>
        <w:t xml:space="preserve"> C 34.06 se </w:t>
      </w:r>
      <w:proofErr w:type="spellStart"/>
      <w:r w:rsidR="00072C3A" w:rsidRPr="009F3ADA">
        <w:rPr>
          <w:rFonts w:ascii="Times New Roman" w:eastAsia="Calibri" w:hAnsi="Times New Roman" w:cs="Times New Roman"/>
          <w:sz w:val="24"/>
          <w:szCs w:val="24"/>
          <w:lang w:val="en-US"/>
        </w:rPr>
        <w:t>va</w:t>
      </w:r>
      <w:proofErr w:type="spellEnd"/>
      <w:r w:rsidR="00072C3A" w:rsidRPr="009F3ADA">
        <w:rPr>
          <w:rFonts w:ascii="Times New Roman" w:eastAsia="Calibri" w:hAnsi="Times New Roman" w:cs="Times New Roman"/>
          <w:sz w:val="24"/>
          <w:szCs w:val="24"/>
          <w:lang w:val="en-US"/>
        </w:rPr>
        <w:t xml:space="preserve"> </w:t>
      </w:r>
      <w:proofErr w:type="spellStart"/>
      <w:r w:rsidR="002C0327" w:rsidRPr="009F3ADA">
        <w:rPr>
          <w:rFonts w:ascii="Times New Roman" w:eastAsia="Calibri" w:hAnsi="Times New Roman" w:cs="Times New Roman"/>
          <w:sz w:val="24"/>
          <w:szCs w:val="24"/>
          <w:lang w:val="en-US"/>
        </w:rPr>
        <w:t>complet</w:t>
      </w:r>
      <w:r w:rsidR="009C1F80" w:rsidRPr="009F3ADA">
        <w:rPr>
          <w:rFonts w:ascii="Times New Roman" w:eastAsia="Calibri" w:hAnsi="Times New Roman" w:cs="Times New Roman"/>
          <w:sz w:val="24"/>
          <w:szCs w:val="24"/>
          <w:lang w:val="en-US"/>
        </w:rPr>
        <w:t>a</w:t>
      </w:r>
      <w:proofErr w:type="spellEnd"/>
      <w:r w:rsidR="009C1F80"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trimestrial</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atunci</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când</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vor</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aplica</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abordarea</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standardizată</w:t>
      </w:r>
      <w:proofErr w:type="spellEnd"/>
      <w:r w:rsidR="00072C3A" w:rsidRPr="009F3ADA">
        <w:rPr>
          <w:rFonts w:ascii="Times New Roman" w:eastAsia="Calibri" w:hAnsi="Times New Roman" w:cs="Times New Roman"/>
          <w:sz w:val="24"/>
          <w:szCs w:val="24"/>
          <w:lang w:val="en-US"/>
        </w:rPr>
        <w:t xml:space="preserve"> (SA-CCR) </w:t>
      </w:r>
      <w:proofErr w:type="spellStart"/>
      <w:r w:rsidR="00072C3A" w:rsidRPr="009F3ADA">
        <w:rPr>
          <w:rFonts w:ascii="Times New Roman" w:eastAsia="Calibri" w:hAnsi="Times New Roman" w:cs="Times New Roman"/>
          <w:sz w:val="24"/>
          <w:szCs w:val="24"/>
          <w:lang w:val="en-US"/>
        </w:rPr>
        <w:t>și</w:t>
      </w:r>
      <w:proofErr w:type="spellEnd"/>
      <w:r w:rsidR="00072C3A" w:rsidRPr="009F3ADA">
        <w:rPr>
          <w:rFonts w:ascii="Times New Roman" w:eastAsia="Calibri" w:hAnsi="Times New Roman" w:cs="Times New Roman"/>
          <w:sz w:val="24"/>
          <w:szCs w:val="24"/>
          <w:lang w:val="en-US"/>
        </w:rPr>
        <w:t xml:space="preserve"> semestrial, </w:t>
      </w:r>
      <w:proofErr w:type="spellStart"/>
      <w:r w:rsidR="00072C3A" w:rsidRPr="009F3ADA">
        <w:rPr>
          <w:rFonts w:ascii="Times New Roman" w:eastAsia="Calibri" w:hAnsi="Times New Roman" w:cs="Times New Roman"/>
          <w:sz w:val="24"/>
          <w:szCs w:val="24"/>
          <w:lang w:val="en-US"/>
        </w:rPr>
        <w:t>atunci</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când</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vor</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aplica</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abordarea</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standardizată</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simplificată</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sau</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metoda</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expunerii</w:t>
      </w:r>
      <w:proofErr w:type="spellEnd"/>
      <w:r w:rsidR="00072C3A" w:rsidRPr="009F3ADA">
        <w:rPr>
          <w:rFonts w:ascii="Times New Roman" w:eastAsia="Calibri" w:hAnsi="Times New Roman" w:cs="Times New Roman"/>
          <w:sz w:val="24"/>
          <w:szCs w:val="24"/>
          <w:lang w:val="en-US"/>
        </w:rPr>
        <w:t xml:space="preserve"> </w:t>
      </w:r>
      <w:proofErr w:type="spellStart"/>
      <w:r w:rsidR="00072C3A" w:rsidRPr="009F3ADA">
        <w:rPr>
          <w:rFonts w:ascii="Times New Roman" w:eastAsia="Calibri" w:hAnsi="Times New Roman" w:cs="Times New Roman"/>
          <w:sz w:val="24"/>
          <w:szCs w:val="24"/>
          <w:lang w:val="en-US"/>
        </w:rPr>
        <w:t>inițiale</w:t>
      </w:r>
      <w:proofErr w:type="spellEnd"/>
      <w:r w:rsidR="00072C3A" w:rsidRPr="009F3ADA">
        <w:rPr>
          <w:rFonts w:ascii="Times New Roman" w:eastAsia="Calibri" w:hAnsi="Times New Roman" w:cs="Times New Roman"/>
          <w:sz w:val="24"/>
          <w:szCs w:val="24"/>
          <w:lang w:val="en-US"/>
        </w:rPr>
        <w:t xml:space="preserve"> (OEM);</w:t>
      </w:r>
      <w:proofErr w:type="gramStart"/>
      <w:r w:rsidRPr="009F3ADA">
        <w:rPr>
          <w:rFonts w:ascii="Times New Roman" w:eastAsia="Calibri" w:hAnsi="Times New Roman" w:cs="Times New Roman"/>
          <w:sz w:val="24"/>
          <w:szCs w:val="24"/>
          <w:lang w:val="en-US"/>
        </w:rPr>
        <w:t>”</w:t>
      </w:r>
      <w:r w:rsidR="00A86BFD" w:rsidRPr="009F3ADA">
        <w:rPr>
          <w:rFonts w:ascii="Times New Roman" w:eastAsia="Calibri" w:hAnsi="Times New Roman" w:cs="Times New Roman"/>
          <w:sz w:val="24"/>
          <w:szCs w:val="24"/>
          <w:lang w:val="en-US"/>
        </w:rPr>
        <w:t>;</w:t>
      </w:r>
      <w:proofErr w:type="gramEnd"/>
    </w:p>
    <w:p w14:paraId="45D0581A" w14:textId="166A5A0D" w:rsidR="00E62C7C" w:rsidRPr="009F3ADA" w:rsidRDefault="0038037F" w:rsidP="002F739C">
      <w:pPr>
        <w:tabs>
          <w:tab w:val="left" w:pos="720"/>
        </w:tabs>
        <w:ind w:firstLine="426"/>
        <w:contextualSpacing/>
        <w:rPr>
          <w:rFonts w:ascii="Times New Roman" w:eastAsia="Calibri" w:hAnsi="Times New Roman" w:cs="Times New Roman"/>
          <w:sz w:val="24"/>
          <w:szCs w:val="24"/>
          <w:lang w:val="pt-BR"/>
        </w:rPr>
      </w:pPr>
      <w:r w:rsidRPr="009F3ADA">
        <w:rPr>
          <w:rFonts w:ascii="Times New Roman" w:eastAsia="Calibri" w:hAnsi="Times New Roman" w:cs="Times New Roman"/>
          <w:sz w:val="24"/>
          <w:szCs w:val="24"/>
          <w:lang w:val="pt-BR"/>
        </w:rPr>
        <w:t xml:space="preserve">1.2. După anexa </w:t>
      </w:r>
      <w:r w:rsidRPr="009F3ADA">
        <w:rPr>
          <w:rFonts w:ascii="Times New Roman" w:eastAsia="Times New Roman" w:hAnsi="Times New Roman" w:cs="Times New Roman"/>
          <w:sz w:val="24"/>
          <w:szCs w:val="24"/>
          <w:lang w:eastAsia="ro-MD"/>
        </w:rPr>
        <w:t>10</w:t>
      </w:r>
      <w:r w:rsidRPr="009F3ADA">
        <w:rPr>
          <w:rFonts w:ascii="Times New Roman" w:eastAsia="Times New Roman" w:hAnsi="Times New Roman" w:cs="Times New Roman"/>
          <w:sz w:val="24"/>
          <w:szCs w:val="24"/>
          <w:vertAlign w:val="superscript"/>
          <w:lang w:eastAsia="ro-MD"/>
        </w:rPr>
        <w:t xml:space="preserve">1 </w:t>
      </w:r>
      <w:r w:rsidRPr="009F3ADA">
        <w:rPr>
          <w:rFonts w:ascii="Times New Roman" w:eastAsia="Calibri" w:hAnsi="Times New Roman" w:cs="Times New Roman"/>
          <w:sz w:val="24"/>
          <w:szCs w:val="24"/>
          <w:lang w:val="pt-BR"/>
        </w:rPr>
        <w:t>s</w:t>
      </w:r>
      <w:r w:rsidR="00A41046" w:rsidRPr="009F3ADA">
        <w:rPr>
          <w:rFonts w:ascii="Times New Roman" w:eastAsia="Calibri" w:hAnsi="Times New Roman" w:cs="Times New Roman"/>
          <w:sz w:val="24"/>
          <w:szCs w:val="24"/>
          <w:lang w:val="pt-BR"/>
        </w:rPr>
        <w:t xml:space="preserve">e completează cu anexa </w:t>
      </w:r>
      <w:r w:rsidR="00CF76F5" w:rsidRPr="009F3ADA">
        <w:rPr>
          <w:rFonts w:ascii="Times New Roman" w:eastAsia="Calibri" w:hAnsi="Times New Roman" w:cs="Times New Roman"/>
          <w:sz w:val="24"/>
          <w:szCs w:val="24"/>
        </w:rPr>
        <w:t>10</w:t>
      </w:r>
      <w:r w:rsidR="00CF76F5" w:rsidRPr="009F3ADA">
        <w:rPr>
          <w:rFonts w:ascii="Times New Roman" w:eastAsia="Calibri" w:hAnsi="Times New Roman" w:cs="Times New Roman"/>
          <w:sz w:val="24"/>
          <w:szCs w:val="24"/>
          <w:vertAlign w:val="superscript"/>
        </w:rPr>
        <w:t>1.1.</w:t>
      </w:r>
      <w:r w:rsidR="00A41046" w:rsidRPr="009F3ADA">
        <w:rPr>
          <w:rFonts w:ascii="Times New Roman" w:eastAsia="Calibri" w:hAnsi="Times New Roman" w:cs="Times New Roman"/>
          <w:sz w:val="24"/>
          <w:szCs w:val="24"/>
          <w:lang w:val="pt-BR"/>
        </w:rPr>
        <w:t>cu următorul cuprins:</w:t>
      </w:r>
    </w:p>
    <w:p w14:paraId="4398D90A"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61F692CF"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63046D91"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6F7848AA"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37195EF1"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4732FF7D" w14:textId="77777777" w:rsidR="00E972F3" w:rsidRPr="009F3ADA" w:rsidRDefault="00E972F3" w:rsidP="00E62C7C">
      <w:pPr>
        <w:spacing w:after="0" w:line="240" w:lineRule="auto"/>
        <w:jc w:val="right"/>
        <w:rPr>
          <w:rFonts w:ascii="Times New Roman" w:eastAsia="Times New Roman" w:hAnsi="Times New Roman" w:cs="Times New Roman"/>
          <w:sz w:val="24"/>
          <w:szCs w:val="24"/>
          <w:lang w:eastAsia="ro-MD"/>
        </w:rPr>
      </w:pPr>
    </w:p>
    <w:p w14:paraId="761A087A" w14:textId="77777777" w:rsidR="00E972F3" w:rsidRPr="009F3ADA" w:rsidRDefault="00E972F3" w:rsidP="00E62C7C">
      <w:pPr>
        <w:spacing w:after="0" w:line="240" w:lineRule="auto"/>
        <w:jc w:val="right"/>
        <w:rPr>
          <w:rFonts w:ascii="Times New Roman" w:eastAsia="Times New Roman" w:hAnsi="Times New Roman" w:cs="Times New Roman"/>
          <w:sz w:val="24"/>
          <w:szCs w:val="24"/>
          <w:lang w:eastAsia="ro-MD"/>
        </w:rPr>
      </w:pPr>
    </w:p>
    <w:p w14:paraId="5F78DBA7"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30A0A741" w14:textId="77777777" w:rsidR="00321A0B" w:rsidRPr="009F3ADA" w:rsidRDefault="00321A0B" w:rsidP="00E62C7C">
      <w:pPr>
        <w:spacing w:after="0" w:line="240" w:lineRule="auto"/>
        <w:jc w:val="right"/>
        <w:rPr>
          <w:rFonts w:ascii="Times New Roman" w:eastAsia="Times New Roman" w:hAnsi="Times New Roman" w:cs="Times New Roman"/>
          <w:sz w:val="24"/>
          <w:szCs w:val="24"/>
          <w:lang w:eastAsia="ro-MD"/>
        </w:rPr>
      </w:pPr>
    </w:p>
    <w:p w14:paraId="6AEF7B9A" w14:textId="5796F35A" w:rsidR="00E62C7C" w:rsidRPr="009F3ADA" w:rsidRDefault="00E62C7C" w:rsidP="00E62C7C">
      <w:pPr>
        <w:spacing w:after="0" w:line="240" w:lineRule="auto"/>
        <w:jc w:val="right"/>
        <w:rPr>
          <w:rFonts w:ascii="Times New Roman" w:eastAsia="Times New Roman" w:hAnsi="Times New Roman" w:cs="Times New Roman"/>
          <w:sz w:val="24"/>
          <w:szCs w:val="24"/>
          <w:vertAlign w:val="superscript"/>
          <w:lang w:eastAsia="ro-MD"/>
        </w:rPr>
      </w:pPr>
      <w:r w:rsidRPr="009F3ADA">
        <w:rPr>
          <w:rFonts w:ascii="Times New Roman" w:eastAsia="Times New Roman" w:hAnsi="Times New Roman" w:cs="Times New Roman"/>
          <w:sz w:val="24"/>
          <w:szCs w:val="24"/>
          <w:lang w:eastAsia="ro-MD"/>
        </w:rPr>
        <w:lastRenderedPageBreak/>
        <w:t xml:space="preserve">Anexa </w:t>
      </w:r>
      <w:bookmarkStart w:id="2" w:name="_Hlk195784600"/>
      <w:r w:rsidRPr="009F3ADA">
        <w:rPr>
          <w:rFonts w:ascii="Times New Roman" w:eastAsia="Times New Roman" w:hAnsi="Times New Roman" w:cs="Times New Roman"/>
          <w:sz w:val="24"/>
          <w:szCs w:val="24"/>
          <w:lang w:eastAsia="ro-MD"/>
        </w:rPr>
        <w:t>1</w:t>
      </w:r>
      <w:r w:rsidR="00E85E15" w:rsidRPr="009F3ADA">
        <w:rPr>
          <w:rFonts w:ascii="Times New Roman" w:eastAsia="Times New Roman" w:hAnsi="Times New Roman" w:cs="Times New Roman"/>
          <w:sz w:val="24"/>
          <w:szCs w:val="24"/>
          <w:lang w:eastAsia="ro-MD"/>
        </w:rPr>
        <w:t>0</w:t>
      </w:r>
      <w:r w:rsidR="00A552A7" w:rsidRPr="009F3ADA">
        <w:rPr>
          <w:rFonts w:ascii="Times New Roman" w:eastAsia="Times New Roman" w:hAnsi="Times New Roman" w:cs="Times New Roman"/>
          <w:sz w:val="24"/>
          <w:szCs w:val="24"/>
          <w:vertAlign w:val="superscript"/>
          <w:lang w:eastAsia="ro-MD"/>
        </w:rPr>
        <w:t>1</w:t>
      </w:r>
      <w:r w:rsidR="00E85E15" w:rsidRPr="009F3ADA">
        <w:rPr>
          <w:rFonts w:ascii="Times New Roman" w:eastAsia="Times New Roman" w:hAnsi="Times New Roman" w:cs="Times New Roman"/>
          <w:sz w:val="24"/>
          <w:szCs w:val="24"/>
          <w:vertAlign w:val="superscript"/>
          <w:lang w:eastAsia="ro-MD"/>
        </w:rPr>
        <w:t>.1</w:t>
      </w:r>
      <w:r w:rsidR="00661295" w:rsidRPr="009F3ADA">
        <w:rPr>
          <w:rFonts w:ascii="Times New Roman" w:eastAsia="Times New Roman" w:hAnsi="Times New Roman" w:cs="Times New Roman"/>
          <w:sz w:val="24"/>
          <w:szCs w:val="24"/>
          <w:vertAlign w:val="superscript"/>
          <w:lang w:eastAsia="ro-MD"/>
        </w:rPr>
        <w:t>.</w:t>
      </w:r>
      <w:bookmarkEnd w:id="2"/>
    </w:p>
    <w:p w14:paraId="0065B8D0" w14:textId="77777777" w:rsidR="00E62C7C" w:rsidRPr="009F3ADA" w:rsidRDefault="00E62C7C" w:rsidP="00E62C7C">
      <w:pPr>
        <w:spacing w:after="0" w:line="240" w:lineRule="auto"/>
        <w:jc w:val="right"/>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la </w:t>
      </w:r>
      <w:proofErr w:type="spellStart"/>
      <w:r w:rsidRPr="009F3ADA">
        <w:rPr>
          <w:rFonts w:ascii="Times New Roman" w:eastAsia="Times New Roman" w:hAnsi="Times New Roman" w:cs="Times New Roman"/>
          <w:sz w:val="24"/>
          <w:szCs w:val="24"/>
          <w:lang w:eastAsia="ro-MD"/>
        </w:rPr>
        <w:t>Instrucţiunea</w:t>
      </w:r>
      <w:proofErr w:type="spellEnd"/>
      <w:r w:rsidRPr="009F3ADA">
        <w:rPr>
          <w:rFonts w:ascii="Times New Roman" w:eastAsia="Times New Roman" w:hAnsi="Times New Roman" w:cs="Times New Roman"/>
          <w:sz w:val="24"/>
          <w:szCs w:val="24"/>
          <w:lang w:eastAsia="ro-MD"/>
        </w:rPr>
        <w:t xml:space="preserve"> cu privire la prezentarea</w:t>
      </w:r>
    </w:p>
    <w:p w14:paraId="596FAC66" w14:textId="77777777" w:rsidR="00E62C7C" w:rsidRPr="009F3ADA" w:rsidRDefault="00E62C7C" w:rsidP="00E62C7C">
      <w:pPr>
        <w:spacing w:after="0" w:line="240" w:lineRule="auto"/>
        <w:jc w:val="right"/>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de către bănci a rapoartelor COREP</w:t>
      </w:r>
    </w:p>
    <w:p w14:paraId="2C359EAC" w14:textId="77777777" w:rsidR="00E62C7C" w:rsidRPr="009F3ADA" w:rsidRDefault="00E62C7C" w:rsidP="00E62C7C">
      <w:pPr>
        <w:spacing w:after="0" w:line="240" w:lineRule="auto"/>
        <w:jc w:val="right"/>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în scopuri de supraveghere</w:t>
      </w:r>
    </w:p>
    <w:p w14:paraId="4F206EB3" w14:textId="5F972A4C" w:rsidR="0038037F" w:rsidRPr="009F3ADA" w:rsidRDefault="00E62C7C" w:rsidP="003130AA">
      <w:pPr>
        <w:shd w:val="clear" w:color="auto" w:fill="FFFFFF"/>
        <w:spacing w:after="120" w:line="312" w:lineRule="atLeast"/>
        <w:jc w:val="center"/>
        <w:rPr>
          <w:rFonts w:ascii="Times New Roman" w:eastAsia="Calibri" w:hAnsi="Times New Roman" w:cs="Times New Roman"/>
          <w:b/>
          <w:sz w:val="24"/>
          <w:szCs w:val="24"/>
          <w:lang w:val="en-US"/>
        </w:rPr>
      </w:pPr>
      <w:r w:rsidRPr="009F3ADA">
        <w:rPr>
          <w:rFonts w:ascii="Times New Roman" w:eastAsia="Times New Roman" w:hAnsi="Times New Roman" w:cs="Times New Roman"/>
          <w:sz w:val="24"/>
          <w:szCs w:val="24"/>
          <w:lang w:eastAsia="ro-MD"/>
        </w:rPr>
        <w:br/>
      </w:r>
    </w:p>
    <w:p w14:paraId="6C0BBE19" w14:textId="403A9BDB" w:rsidR="00F427F5" w:rsidRPr="009F3ADA" w:rsidRDefault="00F427F5" w:rsidP="00315130">
      <w:pPr>
        <w:pStyle w:val="tt"/>
        <w:numPr>
          <w:ilvl w:val="0"/>
          <w:numId w:val="8"/>
        </w:numPr>
        <w:spacing w:before="0" w:beforeAutospacing="0" w:after="0" w:afterAutospacing="0"/>
        <w:ind w:left="0" w:firstLine="426"/>
        <w:jc w:val="both"/>
        <w:rPr>
          <w:b/>
          <w:bCs/>
        </w:rPr>
      </w:pPr>
      <w:r w:rsidRPr="009F3ADA">
        <w:rPr>
          <w:rFonts w:eastAsia="Calibri"/>
          <w:bCs/>
        </w:rPr>
        <w:t xml:space="preserve">Formularele privind riscul de credit al </w:t>
      </w:r>
      <w:proofErr w:type="spellStart"/>
      <w:r w:rsidRPr="009F3ADA">
        <w:rPr>
          <w:rFonts w:eastAsia="Calibri"/>
          <w:bCs/>
        </w:rPr>
        <w:t>contrapărţii</w:t>
      </w:r>
      <w:proofErr w:type="spellEnd"/>
      <w:r w:rsidRPr="009F3ADA">
        <w:rPr>
          <w:rFonts w:eastAsia="Calibri"/>
          <w:bCs/>
        </w:rPr>
        <w:t xml:space="preserve"> cuprind </w:t>
      </w:r>
      <w:proofErr w:type="spellStart"/>
      <w:r w:rsidRPr="009F3ADA">
        <w:rPr>
          <w:rFonts w:eastAsia="Calibri"/>
          <w:bCs/>
        </w:rPr>
        <w:t>informaţii</w:t>
      </w:r>
      <w:proofErr w:type="spellEnd"/>
      <w:r w:rsidRPr="009F3ADA">
        <w:rPr>
          <w:rFonts w:eastAsia="Calibri"/>
          <w:bCs/>
        </w:rPr>
        <w:t xml:space="preserve"> privind expunerile supuse riscului de credit al </w:t>
      </w:r>
      <w:proofErr w:type="spellStart"/>
      <w:r w:rsidRPr="009F3ADA">
        <w:rPr>
          <w:rFonts w:eastAsia="Calibri"/>
          <w:bCs/>
        </w:rPr>
        <w:t>contrapărţii</w:t>
      </w:r>
      <w:proofErr w:type="spellEnd"/>
      <w:r w:rsidRPr="009F3ADA">
        <w:rPr>
          <w:rFonts w:eastAsia="Calibri"/>
          <w:bCs/>
        </w:rPr>
        <w:t xml:space="preserve">, în aplicarea </w:t>
      </w:r>
      <w:r w:rsidRPr="009F3ADA">
        <w:t xml:space="preserve">Regulamentului nr.112/2018 cu privire la tehnicile de diminuare a riscului de credit utilizate de bănci și Regulamentului </w:t>
      </w:r>
      <w:bookmarkStart w:id="3" w:name="_Hlk209779788"/>
      <w:r w:rsidR="00E972F3" w:rsidRPr="009F3ADA">
        <w:t xml:space="preserve">nr.220/2025 </w:t>
      </w:r>
      <w:bookmarkEnd w:id="3"/>
      <w:r w:rsidRPr="009F3ADA">
        <w:t xml:space="preserve">cu privire la tratamentul riscului de credit al </w:t>
      </w:r>
      <w:proofErr w:type="spellStart"/>
      <w:r w:rsidRPr="009F3ADA">
        <w:t>contrapărţii</w:t>
      </w:r>
      <w:proofErr w:type="spellEnd"/>
      <w:r w:rsidRPr="009F3ADA">
        <w:t xml:space="preserve"> pentru bănci.</w:t>
      </w:r>
    </w:p>
    <w:p w14:paraId="49B49DB9" w14:textId="21C7F08F" w:rsidR="00315130" w:rsidRPr="009F3ADA" w:rsidRDefault="00F427F5" w:rsidP="00315130">
      <w:pPr>
        <w:pStyle w:val="tt"/>
        <w:numPr>
          <w:ilvl w:val="0"/>
          <w:numId w:val="8"/>
        </w:numPr>
        <w:spacing w:before="0" w:beforeAutospacing="0" w:after="0" w:afterAutospacing="0"/>
        <w:ind w:left="0" w:firstLine="426"/>
        <w:jc w:val="both"/>
        <w:rPr>
          <w:b/>
          <w:bCs/>
        </w:rPr>
      </w:pPr>
      <w:r w:rsidRPr="009F3ADA">
        <w:rPr>
          <w:rFonts w:eastAsia="Calibri"/>
          <w:bCs/>
        </w:rPr>
        <w:t xml:space="preserve">Formularele exclud </w:t>
      </w:r>
      <w:proofErr w:type="spellStart"/>
      <w:r w:rsidRPr="009F3ADA">
        <w:rPr>
          <w:rFonts w:eastAsia="Calibri"/>
          <w:bCs/>
        </w:rPr>
        <w:t>cerinţele</w:t>
      </w:r>
      <w:proofErr w:type="spellEnd"/>
      <w:r w:rsidRPr="009F3ADA">
        <w:rPr>
          <w:rFonts w:eastAsia="Calibri"/>
          <w:bCs/>
        </w:rPr>
        <w:t xml:space="preserve"> de fonduri proprii pentru riscul CVA </w:t>
      </w:r>
      <w:r w:rsidR="00315130" w:rsidRPr="009F3ADA">
        <w:rPr>
          <w:rFonts w:eastAsia="Calibri"/>
          <w:bCs/>
        </w:rPr>
        <w:t xml:space="preserve">conform prevederilor Regulamentului cu privire la fondurile proprii ale băncilor </w:t>
      </w:r>
      <w:proofErr w:type="spellStart"/>
      <w:r w:rsidR="00315130" w:rsidRPr="009F3ADA">
        <w:rPr>
          <w:rFonts w:eastAsia="Calibri"/>
          <w:bCs/>
        </w:rPr>
        <w:t>şi</w:t>
      </w:r>
      <w:proofErr w:type="spellEnd"/>
      <w:r w:rsidR="00315130" w:rsidRPr="009F3ADA">
        <w:rPr>
          <w:rFonts w:eastAsia="Calibri"/>
          <w:bCs/>
        </w:rPr>
        <w:t xml:space="preserve"> </w:t>
      </w:r>
      <w:proofErr w:type="spellStart"/>
      <w:r w:rsidR="00315130" w:rsidRPr="009F3ADA">
        <w:rPr>
          <w:rFonts w:eastAsia="Calibri"/>
          <w:bCs/>
        </w:rPr>
        <w:t>cerinţele</w:t>
      </w:r>
      <w:proofErr w:type="spellEnd"/>
      <w:r w:rsidR="00315130" w:rsidRPr="009F3ADA">
        <w:rPr>
          <w:rFonts w:eastAsia="Calibri"/>
          <w:bCs/>
        </w:rPr>
        <w:t xml:space="preserve"> de capital și </w:t>
      </w:r>
      <w:r w:rsidR="002C0327" w:rsidRPr="009F3ADA">
        <w:rPr>
          <w:rFonts w:eastAsia="Calibri"/>
          <w:bCs/>
        </w:rPr>
        <w:t xml:space="preserve">ale </w:t>
      </w:r>
      <w:r w:rsidR="00315130" w:rsidRPr="009F3ADA">
        <w:rPr>
          <w:rFonts w:eastAsia="Calibri"/>
          <w:bCs/>
        </w:rPr>
        <w:t>Regulamentului cu privire la tratamentul riscului de ajustare a evaluării creditului pentru bănci</w:t>
      </w:r>
      <w:r w:rsidRPr="009F3ADA">
        <w:rPr>
          <w:rFonts w:eastAsia="Calibri"/>
          <w:bCs/>
        </w:rPr>
        <w:t xml:space="preserve">, care sunt raportate în formularul privind riscul CVA. </w:t>
      </w:r>
    </w:p>
    <w:p w14:paraId="032A4987" w14:textId="5D5197DD" w:rsidR="0038037F" w:rsidRPr="009F3ADA" w:rsidRDefault="00F427F5" w:rsidP="00315130">
      <w:pPr>
        <w:pStyle w:val="tt"/>
        <w:numPr>
          <w:ilvl w:val="0"/>
          <w:numId w:val="8"/>
        </w:numPr>
        <w:ind w:left="0" w:firstLine="426"/>
        <w:jc w:val="both"/>
        <w:rPr>
          <w:rFonts w:eastAsia="Calibri"/>
          <w:b/>
          <w:bCs/>
        </w:rPr>
      </w:pPr>
      <w:r w:rsidRPr="009F3ADA">
        <w:rPr>
          <w:rFonts w:eastAsia="Calibri"/>
          <w:bCs/>
        </w:rPr>
        <w:t xml:space="preserve">Expunerile la riscul de credit al </w:t>
      </w:r>
      <w:proofErr w:type="spellStart"/>
      <w:r w:rsidRPr="009F3ADA">
        <w:rPr>
          <w:rFonts w:eastAsia="Calibri"/>
          <w:bCs/>
        </w:rPr>
        <w:t>contrapărţii</w:t>
      </w:r>
      <w:proofErr w:type="spellEnd"/>
      <w:r w:rsidRPr="009F3ADA">
        <w:rPr>
          <w:rFonts w:eastAsia="Calibri"/>
          <w:bCs/>
        </w:rPr>
        <w:t xml:space="preserve"> </w:t>
      </w:r>
      <w:proofErr w:type="spellStart"/>
      <w:r w:rsidRPr="009F3ADA">
        <w:rPr>
          <w:rFonts w:eastAsia="Calibri"/>
          <w:bCs/>
        </w:rPr>
        <w:t>faţă</w:t>
      </w:r>
      <w:proofErr w:type="spellEnd"/>
      <w:r w:rsidRPr="009F3ADA">
        <w:rPr>
          <w:rFonts w:eastAsia="Calibri"/>
          <w:bCs/>
        </w:rPr>
        <w:t xml:space="preserve"> de </w:t>
      </w:r>
      <w:proofErr w:type="spellStart"/>
      <w:r w:rsidRPr="009F3ADA">
        <w:rPr>
          <w:rFonts w:eastAsia="Calibri"/>
          <w:bCs/>
        </w:rPr>
        <w:t>contrapărţile</w:t>
      </w:r>
      <w:proofErr w:type="spellEnd"/>
      <w:r w:rsidRPr="009F3ADA">
        <w:rPr>
          <w:rFonts w:eastAsia="Calibri"/>
          <w:bCs/>
        </w:rPr>
        <w:t xml:space="preserve"> centrale</w:t>
      </w:r>
      <w:r w:rsidR="002C0327" w:rsidRPr="009F3ADA">
        <w:rPr>
          <w:rFonts w:eastAsia="Calibri"/>
          <w:bCs/>
        </w:rPr>
        <w:t>,</w:t>
      </w:r>
      <w:r w:rsidR="00315130" w:rsidRPr="009F3ADA">
        <w:rPr>
          <w:rFonts w:eastAsia="Calibri"/>
          <w:bCs/>
        </w:rPr>
        <w:t xml:space="preserve"> conform prevederilor </w:t>
      </w:r>
      <w:r w:rsidR="00315130" w:rsidRPr="009F3ADA">
        <w:rPr>
          <w:rFonts w:eastAsia="Calibri"/>
        </w:rPr>
        <w:t xml:space="preserve">Regulamentului </w:t>
      </w:r>
      <w:r w:rsidR="00A32223" w:rsidRPr="009F3ADA">
        <w:t xml:space="preserve">nr.112/2018 </w:t>
      </w:r>
      <w:r w:rsidR="00315130" w:rsidRPr="009F3ADA">
        <w:rPr>
          <w:rFonts w:eastAsia="Calibri"/>
        </w:rPr>
        <w:t xml:space="preserve">cu privire la tehnicile de diminuare a riscului de credit utilizate de bănci și </w:t>
      </w:r>
      <w:r w:rsidR="002C0327" w:rsidRPr="009F3ADA">
        <w:rPr>
          <w:rFonts w:eastAsia="Calibri"/>
        </w:rPr>
        <w:t xml:space="preserve">ale </w:t>
      </w:r>
      <w:r w:rsidR="00315130" w:rsidRPr="009F3ADA">
        <w:rPr>
          <w:rFonts w:eastAsia="Calibri"/>
        </w:rPr>
        <w:t>capitolul</w:t>
      </w:r>
      <w:r w:rsidR="002C0327" w:rsidRPr="009F3ADA">
        <w:rPr>
          <w:rFonts w:eastAsia="Calibri"/>
        </w:rPr>
        <w:t>ui</w:t>
      </w:r>
      <w:r w:rsidR="00315130" w:rsidRPr="009F3ADA">
        <w:rPr>
          <w:rFonts w:eastAsia="Calibri"/>
        </w:rPr>
        <w:t xml:space="preserve"> VIII „</w:t>
      </w:r>
      <w:proofErr w:type="spellStart"/>
      <w:r w:rsidR="00315130" w:rsidRPr="009F3ADA">
        <w:rPr>
          <w:rFonts w:eastAsia="Calibri"/>
        </w:rPr>
        <w:t>Cerinţele</w:t>
      </w:r>
      <w:proofErr w:type="spellEnd"/>
      <w:r w:rsidR="00315130" w:rsidRPr="009F3ADA">
        <w:rPr>
          <w:rFonts w:eastAsia="Calibri"/>
        </w:rPr>
        <w:t xml:space="preserve"> de fonduri proprii pentru expunerile față de o </w:t>
      </w:r>
      <w:proofErr w:type="spellStart"/>
      <w:r w:rsidR="00315130" w:rsidRPr="009F3ADA">
        <w:rPr>
          <w:rFonts w:eastAsia="Calibri"/>
        </w:rPr>
        <w:t>contaparte</w:t>
      </w:r>
      <w:proofErr w:type="spellEnd"/>
      <w:r w:rsidR="00315130" w:rsidRPr="009F3ADA">
        <w:rPr>
          <w:rFonts w:eastAsia="Calibri"/>
        </w:rPr>
        <w:t xml:space="preserve"> centrală” din Regulamentul </w:t>
      </w:r>
      <w:r w:rsidR="00E972F3" w:rsidRPr="009F3ADA">
        <w:t xml:space="preserve">nr.220/2025 </w:t>
      </w:r>
      <w:r w:rsidR="00315130" w:rsidRPr="009F3ADA">
        <w:rPr>
          <w:rFonts w:eastAsia="Calibri"/>
        </w:rPr>
        <w:t xml:space="preserve">cu privire la tratamentul riscului de credit al </w:t>
      </w:r>
      <w:proofErr w:type="spellStart"/>
      <w:r w:rsidR="00315130" w:rsidRPr="009F3ADA">
        <w:rPr>
          <w:rFonts w:eastAsia="Calibri"/>
        </w:rPr>
        <w:t>contrapărţii</w:t>
      </w:r>
      <w:proofErr w:type="spellEnd"/>
      <w:r w:rsidR="00315130" w:rsidRPr="009F3ADA">
        <w:rPr>
          <w:rFonts w:eastAsia="Calibri"/>
        </w:rPr>
        <w:t xml:space="preserve"> pentru bănci,</w:t>
      </w:r>
      <w:r w:rsidRPr="009F3ADA">
        <w:rPr>
          <w:rFonts w:eastAsia="Calibri"/>
          <w:bCs/>
        </w:rPr>
        <w:t xml:space="preserve"> </w:t>
      </w:r>
      <w:r w:rsidR="00D7635D" w:rsidRPr="009F3ADA">
        <w:rPr>
          <w:rFonts w:eastAsia="Calibri"/>
          <w:bCs/>
        </w:rPr>
        <w:t xml:space="preserve">se </w:t>
      </w:r>
      <w:r w:rsidRPr="009F3ADA">
        <w:rPr>
          <w:rFonts w:eastAsia="Calibri"/>
          <w:bCs/>
        </w:rPr>
        <w:t>inclu</w:t>
      </w:r>
      <w:r w:rsidR="00D7635D" w:rsidRPr="009F3ADA">
        <w:rPr>
          <w:rFonts w:eastAsia="Calibri"/>
          <w:bCs/>
        </w:rPr>
        <w:t>d</w:t>
      </w:r>
      <w:r w:rsidRPr="009F3ADA">
        <w:rPr>
          <w:rFonts w:eastAsia="Calibri"/>
          <w:bCs/>
        </w:rPr>
        <w:t xml:space="preserve"> în </w:t>
      </w:r>
      <w:r w:rsidR="00D7635D" w:rsidRPr="009F3ADA">
        <w:rPr>
          <w:rFonts w:eastAsia="Calibri"/>
          <w:bCs/>
        </w:rPr>
        <w:t>datele</w:t>
      </w:r>
      <w:r w:rsidR="003E5563" w:rsidRPr="009F3ADA">
        <w:rPr>
          <w:rFonts w:eastAsia="Calibri"/>
          <w:bCs/>
        </w:rPr>
        <w:t xml:space="preserve"> </w:t>
      </w:r>
      <w:r w:rsidRPr="009F3ADA">
        <w:rPr>
          <w:rFonts w:eastAsia="Calibri"/>
          <w:bCs/>
        </w:rPr>
        <w:t xml:space="preserve">aferente riscului de credit al </w:t>
      </w:r>
      <w:proofErr w:type="spellStart"/>
      <w:r w:rsidRPr="009F3ADA">
        <w:rPr>
          <w:rFonts w:eastAsia="Calibri"/>
          <w:bCs/>
        </w:rPr>
        <w:t>contrapărţii</w:t>
      </w:r>
      <w:proofErr w:type="spellEnd"/>
      <w:r w:rsidRPr="009F3ADA">
        <w:rPr>
          <w:rFonts w:eastAsia="Calibri"/>
          <w:bCs/>
        </w:rPr>
        <w:t xml:space="preserve">, cu </w:t>
      </w:r>
      <w:proofErr w:type="spellStart"/>
      <w:r w:rsidRPr="009F3ADA">
        <w:rPr>
          <w:rFonts w:eastAsia="Calibri"/>
          <w:bCs/>
        </w:rPr>
        <w:t>excepţia</w:t>
      </w:r>
      <w:proofErr w:type="spellEnd"/>
      <w:r w:rsidRPr="009F3ADA">
        <w:rPr>
          <w:rFonts w:eastAsia="Calibri"/>
          <w:bCs/>
        </w:rPr>
        <w:t xml:space="preserve"> cazului în care se prevede altfel. Cu toate acestea, </w:t>
      </w:r>
      <w:proofErr w:type="spellStart"/>
      <w:r w:rsidRPr="009F3ADA">
        <w:rPr>
          <w:rFonts w:eastAsia="Calibri"/>
          <w:bCs/>
        </w:rPr>
        <w:t>contribuţiile</w:t>
      </w:r>
      <w:proofErr w:type="spellEnd"/>
      <w:r w:rsidRPr="009F3ADA">
        <w:rPr>
          <w:rFonts w:eastAsia="Calibri"/>
          <w:bCs/>
        </w:rPr>
        <w:t xml:space="preserve"> la fondul de garantare calculate</w:t>
      </w:r>
      <w:r w:rsidR="00D7635D" w:rsidRPr="009F3ADA">
        <w:rPr>
          <w:rFonts w:eastAsia="Calibri"/>
          <w:bCs/>
        </w:rPr>
        <w:t>,</w:t>
      </w:r>
      <w:r w:rsidRPr="009F3ADA">
        <w:rPr>
          <w:rFonts w:eastAsia="Calibri"/>
          <w:bCs/>
        </w:rPr>
        <w:t xml:space="preserve"> în conformitate cu</w:t>
      </w:r>
      <w:r w:rsidR="00035975" w:rsidRPr="009F3ADA">
        <w:rPr>
          <w:rFonts w:eastAsia="Calibri"/>
          <w:bCs/>
        </w:rPr>
        <w:t xml:space="preserve"> </w:t>
      </w:r>
      <w:r w:rsidR="00035975" w:rsidRPr="009F3ADA">
        <w:t>punctele 14</w:t>
      </w:r>
      <w:r w:rsidR="00645EFA" w:rsidRPr="009F3ADA">
        <w:t>9</w:t>
      </w:r>
      <w:r w:rsidR="00035975" w:rsidRPr="009F3ADA">
        <w:t>-15</w:t>
      </w:r>
      <w:r w:rsidR="00645EFA" w:rsidRPr="009F3ADA">
        <w:t>5</w:t>
      </w:r>
      <w:r w:rsidR="00035975" w:rsidRPr="009F3ADA">
        <w:t xml:space="preserve"> din Regulamentul </w:t>
      </w:r>
      <w:r w:rsidR="00E972F3" w:rsidRPr="009F3ADA">
        <w:t xml:space="preserve">nr.220/2025 </w:t>
      </w:r>
      <w:r w:rsidR="00035975" w:rsidRPr="009F3ADA">
        <w:t xml:space="preserve">cu privire la tratamentul riscului de credit al </w:t>
      </w:r>
      <w:proofErr w:type="spellStart"/>
      <w:r w:rsidR="00035975" w:rsidRPr="009F3ADA">
        <w:t>contrapărţii</w:t>
      </w:r>
      <w:proofErr w:type="spellEnd"/>
      <w:r w:rsidR="00035975" w:rsidRPr="009F3ADA">
        <w:t xml:space="preserve"> pentru bănci</w:t>
      </w:r>
      <w:r w:rsidR="00D7635D" w:rsidRPr="009F3ADA">
        <w:t>,</w:t>
      </w:r>
      <w:r w:rsidRPr="009F3ADA">
        <w:rPr>
          <w:rFonts w:eastAsia="Calibri"/>
          <w:bCs/>
        </w:rPr>
        <w:t xml:space="preserve"> nu se </w:t>
      </w:r>
      <w:r w:rsidR="00542F35" w:rsidRPr="009F3ADA">
        <w:rPr>
          <w:rFonts w:eastAsia="Calibri"/>
          <w:bCs/>
        </w:rPr>
        <w:t xml:space="preserve">includ </w:t>
      </w:r>
      <w:r w:rsidRPr="009F3ADA">
        <w:rPr>
          <w:rFonts w:eastAsia="Calibri"/>
          <w:bCs/>
        </w:rPr>
        <w:t xml:space="preserve">în formularele privind riscul de credit al </w:t>
      </w:r>
      <w:proofErr w:type="spellStart"/>
      <w:r w:rsidRPr="009F3ADA">
        <w:rPr>
          <w:rFonts w:eastAsia="Calibri"/>
          <w:bCs/>
        </w:rPr>
        <w:t>contrapărţii</w:t>
      </w:r>
      <w:proofErr w:type="spellEnd"/>
      <w:r w:rsidRPr="009F3ADA">
        <w:rPr>
          <w:rFonts w:eastAsia="Calibri"/>
          <w:bCs/>
        </w:rPr>
        <w:t xml:space="preserve">, cu </w:t>
      </w:r>
      <w:proofErr w:type="spellStart"/>
      <w:r w:rsidRPr="009F3ADA">
        <w:rPr>
          <w:rFonts w:eastAsia="Calibri"/>
          <w:bCs/>
        </w:rPr>
        <w:t>excepţia</w:t>
      </w:r>
      <w:proofErr w:type="spellEnd"/>
      <w:r w:rsidRPr="009F3ADA">
        <w:rPr>
          <w:rFonts w:eastAsia="Calibri"/>
          <w:bCs/>
        </w:rPr>
        <w:t xml:space="preserve"> formularului C 34.10, în special a rândurilor corespunzătoare. </w:t>
      </w:r>
      <w:r w:rsidR="00A32223" w:rsidRPr="009F3ADA">
        <w:rPr>
          <w:rFonts w:eastAsia="Calibri"/>
          <w:bCs/>
        </w:rPr>
        <w:t>C</w:t>
      </w:r>
      <w:r w:rsidRPr="009F3ADA">
        <w:rPr>
          <w:rFonts w:eastAsia="Calibri"/>
          <w:bCs/>
        </w:rPr>
        <w:t xml:space="preserve">uantumurile ponderate la risc ale expunerilor aferente </w:t>
      </w:r>
      <w:proofErr w:type="spellStart"/>
      <w:r w:rsidRPr="009F3ADA">
        <w:rPr>
          <w:rFonts w:eastAsia="Calibri"/>
          <w:bCs/>
        </w:rPr>
        <w:t>contribuţiilor</w:t>
      </w:r>
      <w:proofErr w:type="spellEnd"/>
      <w:r w:rsidRPr="009F3ADA">
        <w:rPr>
          <w:rFonts w:eastAsia="Calibri"/>
          <w:bCs/>
        </w:rPr>
        <w:t xml:space="preserve"> la fondul de garantare se </w:t>
      </w:r>
      <w:r w:rsidR="00542F35" w:rsidRPr="009F3ADA">
        <w:rPr>
          <w:rFonts w:eastAsia="Calibri"/>
          <w:bCs/>
        </w:rPr>
        <w:t>reflect</w:t>
      </w:r>
      <w:r w:rsidR="00542F35" w:rsidRPr="009F3ADA">
        <w:rPr>
          <w:rFonts w:eastAsia="Calibri"/>
          <w:bCs/>
          <w:lang w:val="ro-RO"/>
        </w:rPr>
        <w:t xml:space="preserve">ă </w:t>
      </w:r>
      <w:r w:rsidRPr="009F3ADA">
        <w:rPr>
          <w:rFonts w:eastAsia="Calibri"/>
          <w:bCs/>
        </w:rPr>
        <w:t xml:space="preserve">direct în formularul C 02.00, </w:t>
      </w:r>
      <w:r w:rsidR="00542F35" w:rsidRPr="009F3ADA">
        <w:rPr>
          <w:rFonts w:eastAsia="Calibri"/>
          <w:bCs/>
        </w:rPr>
        <w:t>la</w:t>
      </w:r>
      <w:r w:rsidRPr="009F3ADA">
        <w:rPr>
          <w:rFonts w:eastAsia="Calibri"/>
          <w:bCs/>
        </w:rPr>
        <w:t xml:space="preserve"> rândul 0460.</w:t>
      </w:r>
    </w:p>
    <w:p w14:paraId="0DAEFBF3" w14:textId="0052C26D" w:rsidR="004651AF" w:rsidRPr="009F3ADA" w:rsidRDefault="000839A6" w:rsidP="00E62C7C">
      <w:pPr>
        <w:shd w:val="clear" w:color="auto" w:fill="FFFFFF"/>
        <w:spacing w:after="120" w:line="312" w:lineRule="atLeast"/>
        <w:jc w:val="center"/>
        <w:rPr>
          <w:rFonts w:ascii="Times New Roman" w:eastAsia="Times New Roman" w:hAnsi="Times New Roman" w:cs="Times New Roman"/>
          <w:sz w:val="24"/>
          <w:szCs w:val="24"/>
          <w:lang w:eastAsia="ro-MD"/>
        </w:rPr>
      </w:pPr>
      <w:r w:rsidRPr="009F3ADA">
        <w:rPr>
          <w:rFonts w:ascii="Times New Roman" w:eastAsia="Calibri" w:hAnsi="Times New Roman" w:cs="Times New Roman"/>
          <w:b/>
          <w:sz w:val="24"/>
          <w:szCs w:val="24"/>
        </w:rPr>
        <w:t xml:space="preserve">PREZENTAREA GENERALĂ A </w:t>
      </w:r>
      <w:r w:rsidR="004651AF" w:rsidRPr="009F3ADA">
        <w:rPr>
          <w:rFonts w:ascii="Times New Roman" w:eastAsia="Times New Roman" w:hAnsi="Times New Roman" w:cs="Times New Roman"/>
          <w:b/>
          <w:bCs/>
          <w:sz w:val="24"/>
          <w:szCs w:val="24"/>
          <w:lang w:eastAsia="ro-MD"/>
        </w:rPr>
        <w:t>RAPORT</w:t>
      </w:r>
      <w:r w:rsidRPr="009F3ADA">
        <w:rPr>
          <w:rFonts w:ascii="Times New Roman" w:eastAsia="Times New Roman" w:hAnsi="Times New Roman" w:cs="Times New Roman"/>
          <w:b/>
          <w:bCs/>
          <w:sz w:val="24"/>
          <w:szCs w:val="24"/>
          <w:lang w:eastAsia="ro-MD"/>
        </w:rPr>
        <w:t>ĂRII</w:t>
      </w:r>
      <w:r w:rsidR="004651AF" w:rsidRPr="009F3ADA">
        <w:rPr>
          <w:rFonts w:ascii="Times New Roman" w:eastAsia="Times New Roman" w:hAnsi="Times New Roman" w:cs="Times New Roman"/>
          <w:b/>
          <w:bCs/>
          <w:sz w:val="24"/>
          <w:szCs w:val="24"/>
          <w:lang w:eastAsia="ro-MD"/>
        </w:rPr>
        <w:t xml:space="preserve"> PRIVIND </w:t>
      </w:r>
      <w:r w:rsidR="00F177CC" w:rsidRPr="009F3ADA">
        <w:rPr>
          <w:rFonts w:ascii="Times New Roman" w:eastAsia="Times New Roman" w:hAnsi="Times New Roman" w:cs="Times New Roman"/>
          <w:b/>
          <w:bCs/>
          <w:sz w:val="24"/>
          <w:szCs w:val="24"/>
          <w:lang w:eastAsia="ro-MD"/>
        </w:rPr>
        <w:t>RISCUL DE CREDIT AL CONTRAPĂRȚII: VOLUMUL OPERAȚIUNILOR CU INSTRUMENTE FINANCIARE DERIVATE</w:t>
      </w:r>
    </w:p>
    <w:p w14:paraId="1E30E1B9" w14:textId="77777777" w:rsidR="001D6A8F" w:rsidRPr="009F3ADA" w:rsidRDefault="001D6A8F" w:rsidP="0090203F">
      <w:pPr>
        <w:spacing w:after="0" w:line="240" w:lineRule="auto"/>
        <w:jc w:val="both"/>
        <w:rPr>
          <w:rFonts w:ascii="Times New Roman" w:eastAsia="Times New Roman" w:hAnsi="Times New Roman" w:cs="Times New Roman"/>
          <w:sz w:val="24"/>
          <w:szCs w:val="24"/>
          <w:lang w:eastAsia="ro-MD"/>
        </w:rPr>
      </w:pPr>
    </w:p>
    <w:p w14:paraId="4B640A62" w14:textId="5866C4B2" w:rsidR="00F177CC" w:rsidRPr="009F3ADA" w:rsidRDefault="00F177CC" w:rsidP="008205CB">
      <w:pPr>
        <w:spacing w:after="0" w:line="240" w:lineRule="auto"/>
        <w:ind w:firstLine="426"/>
        <w:jc w:val="both"/>
        <w:rPr>
          <w:rFonts w:ascii="Times New Roman" w:eastAsia="Times New Roman" w:hAnsi="Times New Roman" w:cs="Times New Roman"/>
          <w:sz w:val="24"/>
          <w:szCs w:val="24"/>
          <w:lang w:eastAsia="ro-MD"/>
        </w:rPr>
      </w:pPr>
      <w:r w:rsidRPr="009F3ADA">
        <w:rPr>
          <w:rFonts w:ascii="Times New Roman" w:eastAsia="Times New Roman" w:hAnsi="Times New Roman" w:cs="Times New Roman"/>
          <w:b/>
          <w:bCs/>
          <w:sz w:val="24"/>
          <w:szCs w:val="24"/>
          <w:lang w:eastAsia="ro-MD"/>
        </w:rPr>
        <w:t>1.</w:t>
      </w:r>
      <w:r w:rsidRPr="009F3ADA">
        <w:rPr>
          <w:rFonts w:ascii="Times New Roman" w:eastAsia="Times New Roman" w:hAnsi="Times New Roman" w:cs="Times New Roman"/>
          <w:sz w:val="24"/>
          <w:szCs w:val="24"/>
          <w:lang w:eastAsia="ro-MD"/>
        </w:rPr>
        <w:t xml:space="preserve"> În conformitate cu </w:t>
      </w:r>
      <w:r w:rsidR="003A2090" w:rsidRPr="009F3ADA">
        <w:rPr>
          <w:rFonts w:ascii="Times New Roman" w:eastAsia="Times New Roman" w:hAnsi="Times New Roman" w:cs="Times New Roman"/>
          <w:sz w:val="24"/>
          <w:szCs w:val="24"/>
          <w:lang w:eastAsia="ro-MD"/>
        </w:rPr>
        <w:t>p</w:t>
      </w:r>
      <w:r w:rsidR="008C6C5B" w:rsidRPr="009F3ADA">
        <w:rPr>
          <w:rFonts w:ascii="Times New Roman" w:eastAsia="Times New Roman" w:hAnsi="Times New Roman" w:cs="Times New Roman"/>
          <w:sz w:val="24"/>
          <w:szCs w:val="24"/>
          <w:lang w:eastAsia="ro-MD"/>
        </w:rPr>
        <w:t xml:space="preserve">unctele </w:t>
      </w:r>
      <w:r w:rsidR="003A2090" w:rsidRPr="009F3ADA">
        <w:rPr>
          <w:rFonts w:ascii="Times New Roman" w:eastAsia="Times New Roman" w:hAnsi="Times New Roman" w:cs="Times New Roman"/>
          <w:sz w:val="24"/>
          <w:szCs w:val="24"/>
          <w:lang w:eastAsia="ro-MD"/>
        </w:rPr>
        <w:t>20-2</w:t>
      </w:r>
      <w:r w:rsidR="004877D3" w:rsidRPr="009F3ADA">
        <w:rPr>
          <w:rFonts w:ascii="Times New Roman" w:eastAsia="Times New Roman" w:hAnsi="Times New Roman" w:cs="Times New Roman"/>
          <w:sz w:val="24"/>
          <w:szCs w:val="24"/>
          <w:lang w:eastAsia="ro-MD"/>
        </w:rPr>
        <w:t>4</w:t>
      </w:r>
      <w:r w:rsidR="00645EFA" w:rsidRPr="009F3ADA">
        <w:rPr>
          <w:rFonts w:ascii="Times New Roman" w:eastAsia="Times New Roman" w:hAnsi="Times New Roman" w:cs="Times New Roman"/>
          <w:sz w:val="24"/>
          <w:szCs w:val="24"/>
          <w:lang w:eastAsia="ro-MD"/>
        </w:rPr>
        <w:t>,</w:t>
      </w:r>
      <w:r w:rsidR="004877D3" w:rsidRPr="009F3ADA">
        <w:rPr>
          <w:rFonts w:ascii="Times New Roman" w:eastAsia="Times New Roman" w:hAnsi="Times New Roman" w:cs="Times New Roman"/>
          <w:sz w:val="24"/>
          <w:szCs w:val="24"/>
          <w:lang w:eastAsia="ro-MD"/>
        </w:rPr>
        <w:t xml:space="preserve"> 34</w:t>
      </w:r>
      <w:r w:rsidR="00645EFA" w:rsidRPr="009F3ADA">
        <w:rPr>
          <w:rFonts w:ascii="Times New Roman" w:eastAsia="Times New Roman" w:hAnsi="Times New Roman" w:cs="Times New Roman"/>
          <w:sz w:val="24"/>
          <w:szCs w:val="24"/>
          <w:lang w:eastAsia="ro-MD"/>
        </w:rPr>
        <w:t xml:space="preserve"> și 35</w:t>
      </w:r>
      <w:r w:rsidR="003A2090" w:rsidRPr="009F3ADA">
        <w:rPr>
          <w:rFonts w:ascii="Times New Roman" w:eastAsia="Times New Roman" w:hAnsi="Times New Roman" w:cs="Times New Roman"/>
          <w:sz w:val="24"/>
          <w:szCs w:val="24"/>
          <w:lang w:eastAsia="ro-MD"/>
        </w:rPr>
        <w:t xml:space="preserve"> </w:t>
      </w:r>
      <w:r w:rsidRPr="009F3ADA">
        <w:rPr>
          <w:rFonts w:ascii="Times New Roman" w:eastAsia="Times New Roman" w:hAnsi="Times New Roman" w:cs="Times New Roman"/>
          <w:sz w:val="24"/>
          <w:szCs w:val="24"/>
          <w:lang w:eastAsia="ro-MD"/>
        </w:rPr>
        <w:t xml:space="preserve">din </w:t>
      </w:r>
      <w:bookmarkStart w:id="4" w:name="_Hlk195786429"/>
      <w:r w:rsidRPr="009F3ADA">
        <w:rPr>
          <w:rFonts w:ascii="Times New Roman" w:eastAsia="Times New Roman" w:hAnsi="Times New Roman" w:cs="Times New Roman"/>
          <w:sz w:val="24"/>
          <w:szCs w:val="24"/>
          <w:lang w:eastAsia="ro-MD"/>
        </w:rPr>
        <w:t>Regulamentul</w:t>
      </w:r>
      <w:r w:rsidR="00E972F3" w:rsidRPr="009F3ADA">
        <w:rPr>
          <w:rFonts w:ascii="Times New Roman" w:eastAsia="Times New Roman" w:hAnsi="Times New Roman" w:cs="Times New Roman"/>
          <w:sz w:val="24"/>
          <w:szCs w:val="24"/>
          <w:lang w:eastAsia="ro-MD"/>
        </w:rPr>
        <w:t xml:space="preserve"> nr.220/2025 </w:t>
      </w:r>
      <w:r w:rsidR="003A2090" w:rsidRPr="009F3ADA">
        <w:rPr>
          <w:rFonts w:ascii="Times New Roman" w:eastAsia="Times New Roman" w:hAnsi="Times New Roman" w:cs="Times New Roman"/>
          <w:sz w:val="24"/>
          <w:szCs w:val="24"/>
          <w:lang w:eastAsia="ro-MD"/>
        </w:rPr>
        <w:t xml:space="preserve">cu privire la tratamentul riscului de credit al </w:t>
      </w:r>
      <w:proofErr w:type="spellStart"/>
      <w:r w:rsidR="003A2090" w:rsidRPr="009F3ADA">
        <w:rPr>
          <w:rFonts w:ascii="Times New Roman" w:eastAsia="Times New Roman" w:hAnsi="Times New Roman" w:cs="Times New Roman"/>
          <w:sz w:val="24"/>
          <w:szCs w:val="24"/>
          <w:lang w:eastAsia="ro-MD"/>
        </w:rPr>
        <w:t>contrapărţii</w:t>
      </w:r>
      <w:proofErr w:type="spellEnd"/>
      <w:r w:rsidR="003A2090" w:rsidRPr="009F3ADA">
        <w:rPr>
          <w:rFonts w:ascii="Times New Roman" w:eastAsia="Times New Roman" w:hAnsi="Times New Roman" w:cs="Times New Roman"/>
          <w:sz w:val="24"/>
          <w:szCs w:val="24"/>
          <w:lang w:eastAsia="ro-MD"/>
        </w:rPr>
        <w:t xml:space="preserve"> pentru bănci</w:t>
      </w:r>
      <w:bookmarkEnd w:id="4"/>
      <w:r w:rsidRPr="009F3ADA">
        <w:rPr>
          <w:rFonts w:ascii="Times New Roman" w:eastAsia="Times New Roman" w:hAnsi="Times New Roman" w:cs="Times New Roman"/>
          <w:sz w:val="24"/>
          <w:szCs w:val="24"/>
          <w:lang w:eastAsia="ro-MD"/>
        </w:rPr>
        <w:t xml:space="preserve">, </w:t>
      </w:r>
      <w:r w:rsidR="005C667C" w:rsidRPr="009F3ADA">
        <w:rPr>
          <w:rFonts w:ascii="Times New Roman" w:eastAsia="Times New Roman" w:hAnsi="Times New Roman" w:cs="Times New Roman"/>
          <w:sz w:val="24"/>
          <w:szCs w:val="24"/>
          <w:lang w:eastAsia="ro-MD"/>
        </w:rPr>
        <w:t>banca</w:t>
      </w:r>
      <w:r w:rsidRPr="009F3ADA">
        <w:rPr>
          <w:rFonts w:ascii="Times New Roman" w:eastAsia="Times New Roman" w:hAnsi="Times New Roman" w:cs="Times New Roman"/>
          <w:sz w:val="24"/>
          <w:szCs w:val="24"/>
          <w:lang w:eastAsia="ro-MD"/>
        </w:rPr>
        <w:t xml:space="preserve"> calcul</w:t>
      </w:r>
      <w:r w:rsidR="00A32223" w:rsidRPr="009F3ADA">
        <w:rPr>
          <w:rFonts w:ascii="Times New Roman" w:eastAsia="Times New Roman" w:hAnsi="Times New Roman" w:cs="Times New Roman"/>
          <w:sz w:val="24"/>
          <w:szCs w:val="24"/>
          <w:lang w:eastAsia="ro-MD"/>
        </w:rPr>
        <w:t>e</w:t>
      </w:r>
      <w:r w:rsidRPr="009F3ADA">
        <w:rPr>
          <w:rFonts w:ascii="Times New Roman" w:eastAsia="Times New Roman" w:hAnsi="Times New Roman" w:cs="Times New Roman"/>
          <w:sz w:val="24"/>
          <w:szCs w:val="24"/>
          <w:lang w:eastAsia="ro-MD"/>
        </w:rPr>
        <w:t>a</w:t>
      </w:r>
      <w:r w:rsidR="00A32223" w:rsidRPr="009F3ADA">
        <w:rPr>
          <w:rFonts w:ascii="Times New Roman" w:eastAsia="Times New Roman" w:hAnsi="Times New Roman" w:cs="Times New Roman"/>
          <w:sz w:val="24"/>
          <w:szCs w:val="24"/>
          <w:lang w:eastAsia="ro-MD"/>
        </w:rPr>
        <w:t>ză</w:t>
      </w:r>
      <w:r w:rsidRPr="009F3ADA">
        <w:rPr>
          <w:rFonts w:ascii="Times New Roman" w:eastAsia="Times New Roman" w:hAnsi="Times New Roman" w:cs="Times New Roman"/>
          <w:sz w:val="24"/>
          <w:szCs w:val="24"/>
          <w:lang w:eastAsia="ro-MD"/>
        </w:rPr>
        <w:t xml:space="preserve"> valoarea expunerii pentru </w:t>
      </w:r>
      <w:proofErr w:type="spellStart"/>
      <w:r w:rsidRPr="009F3ADA">
        <w:rPr>
          <w:rFonts w:ascii="Times New Roman" w:eastAsia="Times New Roman" w:hAnsi="Times New Roman" w:cs="Times New Roman"/>
          <w:sz w:val="24"/>
          <w:szCs w:val="24"/>
          <w:lang w:eastAsia="ro-MD"/>
        </w:rPr>
        <w:t>poziţiile</w:t>
      </w:r>
      <w:proofErr w:type="spellEnd"/>
      <w:r w:rsidRPr="009F3ADA">
        <w:rPr>
          <w:rFonts w:ascii="Times New Roman" w:eastAsia="Times New Roman" w:hAnsi="Times New Roman" w:cs="Times New Roman"/>
          <w:sz w:val="24"/>
          <w:szCs w:val="24"/>
          <w:lang w:eastAsia="ro-MD"/>
        </w:rPr>
        <w:t xml:space="preserve"> sale pe instrumente financiare derivate</w:t>
      </w:r>
      <w:r w:rsidR="00D7635D"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în conformitate cu metoda prevăzută în </w:t>
      </w:r>
      <w:r w:rsidR="00993600" w:rsidRPr="009F3ADA">
        <w:rPr>
          <w:rFonts w:ascii="Times New Roman" w:eastAsia="Times New Roman" w:hAnsi="Times New Roman" w:cs="Times New Roman"/>
          <w:sz w:val="24"/>
          <w:szCs w:val="24"/>
          <w:lang w:eastAsia="ro-MD"/>
        </w:rPr>
        <w:t xml:space="preserve">capitolul IV „Abordarea standardizată simplificată pentru riscul de credit al </w:t>
      </w:r>
      <w:proofErr w:type="spellStart"/>
      <w:r w:rsidR="00993600" w:rsidRPr="009F3ADA">
        <w:rPr>
          <w:rFonts w:ascii="Times New Roman" w:eastAsia="Times New Roman" w:hAnsi="Times New Roman" w:cs="Times New Roman"/>
          <w:sz w:val="24"/>
          <w:szCs w:val="24"/>
          <w:lang w:eastAsia="ro-MD"/>
        </w:rPr>
        <w:t>contrapărţii</w:t>
      </w:r>
      <w:proofErr w:type="spellEnd"/>
      <w:r w:rsidR="00993600" w:rsidRPr="009F3ADA">
        <w:rPr>
          <w:rFonts w:ascii="Times New Roman" w:eastAsia="Times New Roman" w:hAnsi="Times New Roman" w:cs="Times New Roman"/>
          <w:sz w:val="24"/>
          <w:szCs w:val="24"/>
          <w:lang w:eastAsia="ro-MD"/>
        </w:rPr>
        <w:t>” și capitolul V „Metoda  expunerii inițiale” din Regulamentul</w:t>
      </w:r>
      <w:r w:rsidR="00E972F3" w:rsidRPr="009F3ADA">
        <w:rPr>
          <w:rFonts w:ascii="Times New Roman" w:eastAsia="Times New Roman" w:hAnsi="Times New Roman" w:cs="Times New Roman"/>
          <w:sz w:val="24"/>
          <w:szCs w:val="24"/>
          <w:lang w:eastAsia="ro-MD"/>
        </w:rPr>
        <w:t xml:space="preserve"> nr.220/2025 </w:t>
      </w:r>
      <w:r w:rsidR="00993600" w:rsidRPr="009F3ADA">
        <w:rPr>
          <w:rFonts w:ascii="Times New Roman" w:eastAsia="Times New Roman" w:hAnsi="Times New Roman" w:cs="Times New Roman"/>
          <w:sz w:val="24"/>
          <w:szCs w:val="24"/>
          <w:lang w:eastAsia="ro-MD"/>
        </w:rPr>
        <w:t xml:space="preserve">cu privire la tratamentul riscului de credit al </w:t>
      </w:r>
      <w:proofErr w:type="spellStart"/>
      <w:r w:rsidR="00993600" w:rsidRPr="009F3ADA">
        <w:rPr>
          <w:rFonts w:ascii="Times New Roman" w:eastAsia="Times New Roman" w:hAnsi="Times New Roman" w:cs="Times New Roman"/>
          <w:sz w:val="24"/>
          <w:szCs w:val="24"/>
          <w:lang w:eastAsia="ro-MD"/>
        </w:rPr>
        <w:t>contrapărţii</w:t>
      </w:r>
      <w:proofErr w:type="spellEnd"/>
      <w:r w:rsidR="00993600"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 xml:space="preserve">, cu </w:t>
      </w:r>
      <w:proofErr w:type="spellStart"/>
      <w:r w:rsidRPr="009F3ADA">
        <w:rPr>
          <w:rFonts w:ascii="Times New Roman" w:eastAsia="Times New Roman" w:hAnsi="Times New Roman" w:cs="Times New Roman"/>
          <w:sz w:val="24"/>
          <w:szCs w:val="24"/>
          <w:lang w:eastAsia="ro-MD"/>
        </w:rPr>
        <w:t>condiţia</w:t>
      </w:r>
      <w:proofErr w:type="spellEnd"/>
      <w:r w:rsidRPr="009F3ADA">
        <w:rPr>
          <w:rFonts w:ascii="Times New Roman" w:eastAsia="Times New Roman" w:hAnsi="Times New Roman" w:cs="Times New Roman"/>
          <w:sz w:val="24"/>
          <w:szCs w:val="24"/>
          <w:lang w:eastAsia="ro-MD"/>
        </w:rPr>
        <w:t xml:space="preserve"> ca volumul </w:t>
      </w:r>
      <w:proofErr w:type="spellStart"/>
      <w:r w:rsidRPr="009F3ADA">
        <w:rPr>
          <w:rFonts w:ascii="Times New Roman" w:eastAsia="Times New Roman" w:hAnsi="Times New Roman" w:cs="Times New Roman"/>
          <w:sz w:val="24"/>
          <w:szCs w:val="24"/>
          <w:lang w:eastAsia="ro-MD"/>
        </w:rPr>
        <w:t>operaţiunilor</w:t>
      </w:r>
      <w:proofErr w:type="spellEnd"/>
      <w:r w:rsidRPr="009F3ADA">
        <w:rPr>
          <w:rFonts w:ascii="Times New Roman" w:eastAsia="Times New Roman" w:hAnsi="Times New Roman" w:cs="Times New Roman"/>
          <w:sz w:val="24"/>
          <w:szCs w:val="24"/>
          <w:lang w:eastAsia="ro-MD"/>
        </w:rPr>
        <w:t xml:space="preserve"> sale </w:t>
      </w:r>
      <w:proofErr w:type="spellStart"/>
      <w:r w:rsidRPr="009F3ADA">
        <w:rPr>
          <w:rFonts w:ascii="Times New Roman" w:eastAsia="Times New Roman" w:hAnsi="Times New Roman" w:cs="Times New Roman"/>
          <w:sz w:val="24"/>
          <w:szCs w:val="24"/>
          <w:lang w:eastAsia="ro-MD"/>
        </w:rPr>
        <w:t>bilanţiere</w:t>
      </w:r>
      <w:proofErr w:type="spellEnd"/>
      <w:r w:rsidRPr="009F3ADA">
        <w:rPr>
          <w:rFonts w:ascii="Times New Roman" w:eastAsia="Times New Roman" w:hAnsi="Times New Roman" w:cs="Times New Roman"/>
          <w:sz w:val="24"/>
          <w:szCs w:val="24"/>
          <w:lang w:eastAsia="ro-MD"/>
        </w:rPr>
        <w:t xml:space="preserve"> și, respectiv, </w:t>
      </w:r>
      <w:proofErr w:type="spellStart"/>
      <w:r w:rsidRPr="009F3ADA">
        <w:rPr>
          <w:rFonts w:ascii="Times New Roman" w:eastAsia="Times New Roman" w:hAnsi="Times New Roman" w:cs="Times New Roman"/>
          <w:sz w:val="24"/>
          <w:szCs w:val="24"/>
          <w:lang w:eastAsia="ro-MD"/>
        </w:rPr>
        <w:t>extrabilanţiere</w:t>
      </w:r>
      <w:proofErr w:type="spellEnd"/>
      <w:r w:rsidRPr="009F3ADA">
        <w:rPr>
          <w:rFonts w:ascii="Times New Roman" w:eastAsia="Times New Roman" w:hAnsi="Times New Roman" w:cs="Times New Roman"/>
          <w:sz w:val="24"/>
          <w:szCs w:val="24"/>
          <w:lang w:eastAsia="ro-MD"/>
        </w:rPr>
        <w:t xml:space="preserve"> cu instrumente financiare derivate să fie mai mic sau egal cu pragurile predefinite. Evaluarea corespunzătoare se efectuează lunar, folosind datele din ultima zi a lunii. Acest formular oferă </w:t>
      </w:r>
      <w:r w:rsidR="00542F35" w:rsidRPr="009F3ADA">
        <w:rPr>
          <w:rFonts w:ascii="Times New Roman" w:eastAsia="Times New Roman" w:hAnsi="Times New Roman" w:cs="Times New Roman"/>
          <w:sz w:val="24"/>
          <w:szCs w:val="24"/>
          <w:lang w:eastAsia="ro-MD"/>
        </w:rPr>
        <w:t xml:space="preserve">date </w:t>
      </w:r>
      <w:r w:rsidRPr="009F3ADA">
        <w:rPr>
          <w:rFonts w:ascii="Times New Roman" w:eastAsia="Times New Roman" w:hAnsi="Times New Roman" w:cs="Times New Roman"/>
          <w:sz w:val="24"/>
          <w:szCs w:val="24"/>
          <w:lang w:eastAsia="ro-MD"/>
        </w:rPr>
        <w:t>cu privire la respectarea pragurilor și</w:t>
      </w:r>
      <w:r w:rsidR="00A32223" w:rsidRPr="009F3ADA">
        <w:rPr>
          <w:rFonts w:ascii="Times New Roman" w:eastAsia="Times New Roman" w:hAnsi="Times New Roman" w:cs="Times New Roman"/>
          <w:sz w:val="24"/>
          <w:szCs w:val="24"/>
          <w:lang w:eastAsia="ro-MD"/>
        </w:rPr>
        <w:t xml:space="preserve"> </w:t>
      </w:r>
      <w:proofErr w:type="spellStart"/>
      <w:r w:rsidRPr="009F3ADA">
        <w:rPr>
          <w:rFonts w:ascii="Times New Roman" w:eastAsia="Times New Roman" w:hAnsi="Times New Roman" w:cs="Times New Roman"/>
          <w:sz w:val="24"/>
          <w:szCs w:val="24"/>
          <w:lang w:eastAsia="ro-MD"/>
        </w:rPr>
        <w:t>informaţii</w:t>
      </w:r>
      <w:proofErr w:type="spellEnd"/>
      <w:r w:rsidRPr="009F3ADA">
        <w:rPr>
          <w:rFonts w:ascii="Times New Roman" w:eastAsia="Times New Roman" w:hAnsi="Times New Roman" w:cs="Times New Roman"/>
          <w:sz w:val="24"/>
          <w:szCs w:val="24"/>
          <w:lang w:eastAsia="ro-MD"/>
        </w:rPr>
        <w:t xml:space="preserve"> importante privind volumul </w:t>
      </w:r>
      <w:proofErr w:type="spellStart"/>
      <w:r w:rsidRPr="009F3ADA">
        <w:rPr>
          <w:rFonts w:ascii="Times New Roman" w:eastAsia="Times New Roman" w:hAnsi="Times New Roman" w:cs="Times New Roman"/>
          <w:sz w:val="24"/>
          <w:szCs w:val="24"/>
          <w:lang w:eastAsia="ro-MD"/>
        </w:rPr>
        <w:t>operaţiunilor</w:t>
      </w:r>
      <w:proofErr w:type="spellEnd"/>
      <w:r w:rsidRPr="009F3ADA">
        <w:rPr>
          <w:rFonts w:ascii="Times New Roman" w:eastAsia="Times New Roman" w:hAnsi="Times New Roman" w:cs="Times New Roman"/>
          <w:sz w:val="24"/>
          <w:szCs w:val="24"/>
          <w:lang w:eastAsia="ro-MD"/>
        </w:rPr>
        <w:t xml:space="preserve"> cu instrumente financiare derivate. </w:t>
      </w:r>
    </w:p>
    <w:p w14:paraId="0C9928C7" w14:textId="77777777" w:rsidR="00F177CC" w:rsidRPr="009F3ADA" w:rsidRDefault="00F177CC" w:rsidP="0090203F">
      <w:pPr>
        <w:spacing w:after="0" w:line="240" w:lineRule="auto"/>
        <w:jc w:val="both"/>
        <w:rPr>
          <w:rFonts w:ascii="Times New Roman" w:eastAsia="Times New Roman" w:hAnsi="Times New Roman" w:cs="Times New Roman"/>
          <w:sz w:val="24"/>
          <w:szCs w:val="24"/>
          <w:lang w:eastAsia="ro-MD"/>
        </w:rPr>
      </w:pPr>
    </w:p>
    <w:p w14:paraId="26F95B18" w14:textId="3596E4CA" w:rsidR="001D6A8F" w:rsidRPr="009F3ADA" w:rsidRDefault="00F177CC" w:rsidP="008205CB">
      <w:pPr>
        <w:spacing w:after="0" w:line="240" w:lineRule="auto"/>
        <w:ind w:firstLine="426"/>
        <w:jc w:val="both"/>
        <w:rPr>
          <w:rFonts w:ascii="Times New Roman" w:eastAsia="Times New Roman" w:hAnsi="Times New Roman" w:cs="Times New Roman"/>
          <w:sz w:val="24"/>
          <w:szCs w:val="24"/>
          <w:lang w:eastAsia="ro-MD"/>
        </w:rPr>
      </w:pPr>
      <w:r w:rsidRPr="009F3ADA">
        <w:rPr>
          <w:rFonts w:ascii="Times New Roman" w:eastAsia="Times New Roman" w:hAnsi="Times New Roman" w:cs="Times New Roman"/>
          <w:b/>
          <w:bCs/>
          <w:sz w:val="24"/>
          <w:szCs w:val="24"/>
          <w:lang w:eastAsia="ro-MD"/>
        </w:rPr>
        <w:t>2.</w:t>
      </w:r>
      <w:r w:rsidRPr="009F3ADA">
        <w:rPr>
          <w:rFonts w:ascii="Times New Roman" w:eastAsia="Times New Roman" w:hAnsi="Times New Roman" w:cs="Times New Roman"/>
          <w:sz w:val="24"/>
          <w:szCs w:val="24"/>
          <w:lang w:eastAsia="ro-MD"/>
        </w:rPr>
        <w:t xml:space="preserve"> Luna 1, luna 2 și luna 3 se referă la prima, la a doua și, respectiv, la ultima lună din trimestrul pentru care </w:t>
      </w:r>
      <w:r w:rsidR="00542F35" w:rsidRPr="009F3ADA">
        <w:rPr>
          <w:rFonts w:ascii="Times New Roman" w:eastAsia="Times New Roman" w:hAnsi="Times New Roman" w:cs="Times New Roman"/>
          <w:sz w:val="24"/>
          <w:szCs w:val="24"/>
          <w:lang w:eastAsia="ro-MD"/>
        </w:rPr>
        <w:t xml:space="preserve">se </w:t>
      </w:r>
      <w:r w:rsidRPr="009F3ADA">
        <w:rPr>
          <w:rFonts w:ascii="Times New Roman" w:eastAsia="Times New Roman" w:hAnsi="Times New Roman" w:cs="Times New Roman"/>
          <w:sz w:val="24"/>
          <w:szCs w:val="24"/>
          <w:lang w:eastAsia="ro-MD"/>
        </w:rPr>
        <w:t xml:space="preserve">realizează raportarea. Se raportează </w:t>
      </w:r>
      <w:proofErr w:type="spellStart"/>
      <w:r w:rsidRPr="009F3ADA">
        <w:rPr>
          <w:rFonts w:ascii="Times New Roman" w:eastAsia="Times New Roman" w:hAnsi="Times New Roman" w:cs="Times New Roman"/>
          <w:sz w:val="24"/>
          <w:szCs w:val="24"/>
          <w:lang w:eastAsia="ro-MD"/>
        </w:rPr>
        <w:t>informaţii</w:t>
      </w:r>
      <w:r w:rsidR="00DD57E3" w:rsidRPr="009F3ADA">
        <w:rPr>
          <w:rFonts w:ascii="Times New Roman" w:eastAsia="Times New Roman" w:hAnsi="Times New Roman" w:cs="Times New Roman"/>
          <w:sz w:val="24"/>
          <w:szCs w:val="24"/>
          <w:lang w:eastAsia="ro-MD"/>
        </w:rPr>
        <w:t>le</w:t>
      </w:r>
      <w:proofErr w:type="spellEnd"/>
      <w:r w:rsidRPr="009F3ADA">
        <w:rPr>
          <w:rFonts w:ascii="Times New Roman" w:eastAsia="Times New Roman" w:hAnsi="Times New Roman" w:cs="Times New Roman"/>
          <w:sz w:val="24"/>
          <w:szCs w:val="24"/>
          <w:lang w:eastAsia="ro-MD"/>
        </w:rPr>
        <w:t xml:space="preserve"> numai pentru sfârșitu</w:t>
      </w:r>
      <w:r w:rsidR="00DD57E3" w:rsidRPr="009F3ADA">
        <w:rPr>
          <w:rFonts w:ascii="Times New Roman" w:eastAsia="Times New Roman" w:hAnsi="Times New Roman" w:cs="Times New Roman"/>
          <w:sz w:val="24"/>
          <w:szCs w:val="24"/>
          <w:lang w:eastAsia="ro-MD"/>
        </w:rPr>
        <w:t>l</w:t>
      </w:r>
      <w:r w:rsidRPr="009F3ADA">
        <w:rPr>
          <w:rFonts w:ascii="Times New Roman" w:eastAsia="Times New Roman" w:hAnsi="Times New Roman" w:cs="Times New Roman"/>
          <w:sz w:val="24"/>
          <w:szCs w:val="24"/>
          <w:lang w:eastAsia="ro-MD"/>
        </w:rPr>
        <w:t xml:space="preserve"> lun</w:t>
      </w:r>
      <w:r w:rsidR="00DD57E3" w:rsidRPr="009F3ADA">
        <w:rPr>
          <w:rFonts w:ascii="Times New Roman" w:eastAsia="Times New Roman" w:hAnsi="Times New Roman" w:cs="Times New Roman"/>
          <w:sz w:val="24"/>
          <w:szCs w:val="24"/>
          <w:lang w:eastAsia="ro-MD"/>
        </w:rPr>
        <w:t>ilor</w:t>
      </w:r>
      <w:r w:rsidRPr="009F3ADA">
        <w:rPr>
          <w:rFonts w:ascii="Times New Roman" w:eastAsia="Times New Roman" w:hAnsi="Times New Roman" w:cs="Times New Roman"/>
          <w:sz w:val="24"/>
          <w:szCs w:val="24"/>
          <w:lang w:eastAsia="ro-MD"/>
        </w:rPr>
        <w:t xml:space="preserve"> ulterioare datei de </w:t>
      </w:r>
      <w:r w:rsidR="00D75F0B" w:rsidRPr="009F3ADA">
        <w:rPr>
          <w:rFonts w:ascii="Times New Roman" w:eastAsia="Times New Roman" w:hAnsi="Times New Roman" w:cs="Times New Roman"/>
          <w:sz w:val="24"/>
          <w:szCs w:val="24"/>
          <w:lang w:eastAsia="ro-MD"/>
        </w:rPr>
        <w:t>1</w:t>
      </w:r>
      <w:r w:rsidRPr="009F3ADA">
        <w:rPr>
          <w:rFonts w:ascii="Times New Roman" w:eastAsia="Times New Roman" w:hAnsi="Times New Roman" w:cs="Times New Roman"/>
          <w:sz w:val="24"/>
          <w:szCs w:val="24"/>
          <w:lang w:eastAsia="ro-MD"/>
        </w:rPr>
        <w:t xml:space="preserve"> </w:t>
      </w:r>
      <w:r w:rsidR="00803A1B" w:rsidRPr="009F3ADA">
        <w:rPr>
          <w:rFonts w:ascii="Times New Roman" w:eastAsia="Times New Roman" w:hAnsi="Times New Roman" w:cs="Times New Roman"/>
          <w:sz w:val="24"/>
          <w:szCs w:val="24"/>
          <w:lang w:eastAsia="ro-MD"/>
        </w:rPr>
        <w:t>octombrie</w:t>
      </w:r>
      <w:r w:rsidR="00D75F0B" w:rsidRPr="009F3ADA">
        <w:rPr>
          <w:rFonts w:ascii="Times New Roman" w:eastAsia="Times New Roman" w:hAnsi="Times New Roman" w:cs="Times New Roman"/>
          <w:sz w:val="24"/>
          <w:szCs w:val="24"/>
          <w:lang w:eastAsia="ro-MD"/>
        </w:rPr>
        <w:t xml:space="preserve"> </w:t>
      </w:r>
      <w:r w:rsidRPr="009F3ADA">
        <w:rPr>
          <w:rFonts w:ascii="Times New Roman" w:eastAsia="Times New Roman" w:hAnsi="Times New Roman" w:cs="Times New Roman"/>
          <w:sz w:val="24"/>
          <w:szCs w:val="24"/>
          <w:lang w:eastAsia="ro-MD"/>
        </w:rPr>
        <w:t>202</w:t>
      </w:r>
      <w:r w:rsidR="00D75F0B" w:rsidRPr="009F3ADA">
        <w:rPr>
          <w:rFonts w:ascii="Times New Roman" w:eastAsia="Times New Roman" w:hAnsi="Times New Roman" w:cs="Times New Roman"/>
          <w:sz w:val="24"/>
          <w:szCs w:val="24"/>
          <w:lang w:eastAsia="ro-MD"/>
        </w:rPr>
        <w:t>6</w:t>
      </w:r>
      <w:r w:rsidRPr="009F3ADA">
        <w:rPr>
          <w:rFonts w:ascii="Times New Roman" w:eastAsia="Times New Roman" w:hAnsi="Times New Roman" w:cs="Times New Roman"/>
          <w:sz w:val="24"/>
          <w:szCs w:val="24"/>
          <w:lang w:eastAsia="ro-MD"/>
        </w:rPr>
        <w:t>.</w:t>
      </w:r>
    </w:p>
    <w:p w14:paraId="7710875A" w14:textId="1C8A7EB4" w:rsidR="001D6A8F" w:rsidRPr="009F3ADA" w:rsidRDefault="001D6A8F" w:rsidP="0090203F">
      <w:pPr>
        <w:spacing w:after="0" w:line="240" w:lineRule="auto"/>
        <w:jc w:val="both"/>
        <w:rPr>
          <w:rFonts w:ascii="Times New Roman" w:eastAsia="Times New Roman" w:hAnsi="Times New Roman" w:cs="Times New Roman"/>
          <w:sz w:val="24"/>
          <w:szCs w:val="24"/>
          <w:lang w:eastAsia="ro-MD"/>
        </w:rPr>
      </w:pPr>
    </w:p>
    <w:p w14:paraId="4A4E7AB7" w14:textId="77777777" w:rsidR="001D6A8F" w:rsidRPr="009F3ADA" w:rsidRDefault="001D6A8F" w:rsidP="0090203F">
      <w:pPr>
        <w:spacing w:after="0" w:line="240" w:lineRule="auto"/>
        <w:jc w:val="both"/>
        <w:rPr>
          <w:rFonts w:ascii="Times New Roman" w:eastAsia="Times New Roman" w:hAnsi="Times New Roman" w:cs="Times New Roman"/>
          <w:sz w:val="24"/>
          <w:szCs w:val="24"/>
          <w:lang w:eastAsia="ro-MD"/>
        </w:rPr>
      </w:pPr>
    </w:p>
    <w:p w14:paraId="4FBAC100" w14:textId="3B7D8D34" w:rsidR="001D6A8F" w:rsidRPr="009F3ADA" w:rsidRDefault="001D6A8F" w:rsidP="001D6A8F">
      <w:pPr>
        <w:spacing w:after="0" w:line="240" w:lineRule="auto"/>
        <w:jc w:val="both"/>
        <w:rPr>
          <w:rFonts w:ascii="Times New Roman" w:eastAsia="Times New Roman" w:hAnsi="Times New Roman" w:cs="Times New Roman"/>
          <w:b/>
          <w:bCs/>
          <w:sz w:val="24"/>
          <w:szCs w:val="24"/>
          <w:lang w:eastAsia="ro-MD"/>
        </w:rPr>
        <w:sectPr w:rsidR="001D6A8F" w:rsidRPr="009F3ADA" w:rsidSect="00842063">
          <w:headerReference w:type="default" r:id="rId9"/>
          <w:footerReference w:type="default" r:id="rId10"/>
          <w:pgSz w:w="11906" w:h="16838" w:code="9"/>
          <w:pgMar w:top="1134" w:right="850" w:bottom="1134" w:left="1701" w:header="708" w:footer="708" w:gutter="0"/>
          <w:cols w:space="708"/>
          <w:docGrid w:linePitch="360"/>
        </w:sectPr>
      </w:pPr>
    </w:p>
    <w:p w14:paraId="74BF48E6" w14:textId="78D3E7D4" w:rsidR="00115D0C" w:rsidRPr="009F3ADA" w:rsidRDefault="00C50CC4" w:rsidP="00115D0C">
      <w:pPr>
        <w:spacing w:after="0" w:line="240" w:lineRule="auto"/>
        <w:jc w:val="center"/>
        <w:rPr>
          <w:rFonts w:ascii="Times New Roman" w:eastAsia="Times New Roman" w:hAnsi="Times New Roman" w:cs="Times New Roman"/>
          <w:sz w:val="24"/>
          <w:szCs w:val="24"/>
          <w:lang w:eastAsia="ro-MD"/>
        </w:rPr>
      </w:pPr>
      <w:bookmarkStart w:id="7" w:name="_Hlk195801991"/>
      <w:r w:rsidRPr="009F3ADA">
        <w:rPr>
          <w:rFonts w:ascii="Times New Roman" w:eastAsia="Times New Roman" w:hAnsi="Times New Roman" w:cs="Times New Roman"/>
          <w:b/>
          <w:bCs/>
          <w:sz w:val="24"/>
          <w:szCs w:val="24"/>
          <w:lang w:eastAsia="ro-MD"/>
        </w:rPr>
        <w:lastRenderedPageBreak/>
        <w:t>Formularul</w:t>
      </w:r>
      <w:r w:rsidR="00115D0C" w:rsidRPr="009F3ADA">
        <w:rPr>
          <w:rFonts w:ascii="Times New Roman" w:eastAsia="Times New Roman" w:hAnsi="Times New Roman" w:cs="Times New Roman"/>
          <w:b/>
          <w:bCs/>
          <w:sz w:val="24"/>
          <w:szCs w:val="24"/>
          <w:lang w:eastAsia="ro-MD"/>
        </w:rPr>
        <w:t xml:space="preserve"> raportului </w:t>
      </w:r>
    </w:p>
    <w:bookmarkEnd w:id="7"/>
    <w:p w14:paraId="59CE688E" w14:textId="77777777" w:rsidR="0021002F" w:rsidRPr="009F3ADA" w:rsidRDefault="0021002F" w:rsidP="00115D0C">
      <w:pPr>
        <w:spacing w:after="0" w:line="240" w:lineRule="auto"/>
        <w:jc w:val="center"/>
        <w:rPr>
          <w:rFonts w:ascii="Times New Roman" w:eastAsia="Times New Roman" w:hAnsi="Times New Roman" w:cs="Times New Roman"/>
          <w:b/>
          <w:bCs/>
          <w:lang w:eastAsia="ro-MD"/>
        </w:rPr>
      </w:pPr>
      <w:r w:rsidRPr="009F3ADA">
        <w:rPr>
          <w:rFonts w:ascii="Times New Roman" w:eastAsia="Times New Roman" w:hAnsi="Times New Roman" w:cs="Times New Roman"/>
          <w:b/>
          <w:bCs/>
          <w:lang w:eastAsia="ro-MD"/>
        </w:rPr>
        <w:t xml:space="preserve">C 34.01 </w:t>
      </w:r>
      <w:bookmarkStart w:id="8" w:name="_Hlk202274136"/>
      <w:r w:rsidRPr="009F3ADA">
        <w:rPr>
          <w:rFonts w:ascii="Times New Roman" w:eastAsia="Times New Roman" w:hAnsi="Times New Roman" w:cs="Times New Roman"/>
          <w:b/>
          <w:bCs/>
          <w:lang w:eastAsia="ro-MD"/>
        </w:rPr>
        <w:t>RISCUL DE CREDIT AL CONTRAPĂRȚII: VOLUMUL OPERAȚIUNILOR CU INSTRUMENTE FINANCIARE DERIVATE (CCR 1)</w:t>
      </w:r>
    </w:p>
    <w:tbl>
      <w:tblPr>
        <w:tblStyle w:val="TableGrid"/>
        <w:tblW w:w="14469" w:type="dxa"/>
        <w:tblLook w:val="04A0" w:firstRow="1" w:lastRow="0" w:firstColumn="1" w:lastColumn="0" w:noHBand="0" w:noVBand="1"/>
      </w:tblPr>
      <w:tblGrid>
        <w:gridCol w:w="573"/>
        <w:gridCol w:w="1344"/>
        <w:gridCol w:w="1546"/>
        <w:gridCol w:w="1546"/>
        <w:gridCol w:w="825"/>
        <w:gridCol w:w="1546"/>
        <w:gridCol w:w="1546"/>
        <w:gridCol w:w="825"/>
        <w:gridCol w:w="1546"/>
        <w:gridCol w:w="1546"/>
        <w:gridCol w:w="825"/>
        <w:gridCol w:w="1348"/>
      </w:tblGrid>
      <w:tr w:rsidR="0021002F" w:rsidRPr="009F3ADA" w14:paraId="3588F1A4" w14:textId="77777777" w:rsidTr="009A3811">
        <w:trPr>
          <w:trHeight w:val="256"/>
        </w:trPr>
        <w:tc>
          <w:tcPr>
            <w:tcW w:w="0" w:type="auto"/>
            <w:gridSpan w:val="2"/>
            <w:vMerge w:val="restart"/>
            <w:hideMark/>
          </w:tcPr>
          <w:bookmarkEnd w:id="8"/>
          <w:p w14:paraId="5E8DF8DC"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gridSpan w:val="3"/>
            <w:hideMark/>
          </w:tcPr>
          <w:p w14:paraId="0790F1A2"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LUNA 1</w:t>
            </w:r>
          </w:p>
        </w:tc>
        <w:tc>
          <w:tcPr>
            <w:tcW w:w="0" w:type="auto"/>
            <w:gridSpan w:val="3"/>
            <w:hideMark/>
          </w:tcPr>
          <w:p w14:paraId="5E9281E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LUNA 2</w:t>
            </w:r>
          </w:p>
        </w:tc>
        <w:tc>
          <w:tcPr>
            <w:tcW w:w="0" w:type="auto"/>
            <w:gridSpan w:val="3"/>
            <w:hideMark/>
          </w:tcPr>
          <w:p w14:paraId="358F7C80"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LUNA 3</w:t>
            </w:r>
          </w:p>
        </w:tc>
        <w:tc>
          <w:tcPr>
            <w:tcW w:w="0" w:type="auto"/>
            <w:vMerge w:val="restart"/>
            <w:hideMark/>
          </w:tcPr>
          <w:p w14:paraId="5CA809B3"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INFORMAȚII CALITATIVE</w:t>
            </w:r>
          </w:p>
        </w:tc>
      </w:tr>
      <w:tr w:rsidR="0021002F" w:rsidRPr="009F3ADA" w14:paraId="72358EF4" w14:textId="77777777" w:rsidTr="009A3811">
        <w:trPr>
          <w:trHeight w:val="145"/>
        </w:trPr>
        <w:tc>
          <w:tcPr>
            <w:tcW w:w="0" w:type="auto"/>
            <w:gridSpan w:val="2"/>
            <w:vMerge/>
            <w:hideMark/>
          </w:tcPr>
          <w:p w14:paraId="61AB03B5" w14:textId="77777777" w:rsidR="0021002F" w:rsidRPr="009F3ADA" w:rsidRDefault="0021002F" w:rsidP="0021002F">
            <w:pPr>
              <w:rPr>
                <w:rFonts w:ascii="Times New Roman" w:eastAsia="Times New Roman" w:hAnsi="Times New Roman" w:cs="Times New Roman"/>
                <w:b/>
                <w:bCs/>
                <w:sz w:val="18"/>
                <w:szCs w:val="18"/>
                <w:lang w:eastAsia="ro-MD"/>
              </w:rPr>
            </w:pPr>
          </w:p>
        </w:tc>
        <w:tc>
          <w:tcPr>
            <w:tcW w:w="0" w:type="auto"/>
            <w:hideMark/>
          </w:tcPr>
          <w:p w14:paraId="78BA1C8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LUNGI PE INSTRUMENTE FINANCIARE DERIVATE</w:t>
            </w:r>
          </w:p>
        </w:tc>
        <w:tc>
          <w:tcPr>
            <w:tcW w:w="0" w:type="auto"/>
            <w:hideMark/>
          </w:tcPr>
          <w:p w14:paraId="16E47455"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SCURTE PE INSTRUMENTE FINANCIARE DERIVATE</w:t>
            </w:r>
          </w:p>
        </w:tc>
        <w:tc>
          <w:tcPr>
            <w:tcW w:w="0" w:type="auto"/>
            <w:hideMark/>
          </w:tcPr>
          <w:p w14:paraId="554F90E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TOTAL</w:t>
            </w:r>
          </w:p>
        </w:tc>
        <w:tc>
          <w:tcPr>
            <w:tcW w:w="0" w:type="auto"/>
            <w:hideMark/>
          </w:tcPr>
          <w:p w14:paraId="6876FEAD"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LUNGI PE INSTRUMENTE FINANCIARE DERIVATE</w:t>
            </w:r>
          </w:p>
        </w:tc>
        <w:tc>
          <w:tcPr>
            <w:tcW w:w="0" w:type="auto"/>
            <w:hideMark/>
          </w:tcPr>
          <w:p w14:paraId="3815305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SCURTE PE INSTRUMENTE FINANCIARE DERIVATE</w:t>
            </w:r>
          </w:p>
        </w:tc>
        <w:tc>
          <w:tcPr>
            <w:tcW w:w="0" w:type="auto"/>
            <w:hideMark/>
          </w:tcPr>
          <w:p w14:paraId="1FECD00D"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TOTAL</w:t>
            </w:r>
          </w:p>
        </w:tc>
        <w:tc>
          <w:tcPr>
            <w:tcW w:w="0" w:type="auto"/>
            <w:hideMark/>
          </w:tcPr>
          <w:p w14:paraId="5AF65704"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LUNGI PE INSTRUMENTE FINANCIARE DERIVATE</w:t>
            </w:r>
          </w:p>
        </w:tc>
        <w:tc>
          <w:tcPr>
            <w:tcW w:w="0" w:type="auto"/>
            <w:hideMark/>
          </w:tcPr>
          <w:p w14:paraId="37751B8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POZIȚII SCURTE PE INSTRUMENTE FINANCIARE DERIVATE</w:t>
            </w:r>
          </w:p>
        </w:tc>
        <w:tc>
          <w:tcPr>
            <w:tcW w:w="0" w:type="auto"/>
            <w:hideMark/>
          </w:tcPr>
          <w:p w14:paraId="22AEEE0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TOTAL</w:t>
            </w:r>
          </w:p>
        </w:tc>
        <w:tc>
          <w:tcPr>
            <w:tcW w:w="0" w:type="auto"/>
            <w:vMerge/>
            <w:hideMark/>
          </w:tcPr>
          <w:p w14:paraId="2BEE5B69" w14:textId="77777777" w:rsidR="0021002F" w:rsidRPr="009F3ADA" w:rsidRDefault="0021002F" w:rsidP="0021002F">
            <w:pPr>
              <w:rPr>
                <w:rFonts w:ascii="Times New Roman" w:eastAsia="Times New Roman" w:hAnsi="Times New Roman" w:cs="Times New Roman"/>
                <w:b/>
                <w:bCs/>
                <w:sz w:val="18"/>
                <w:szCs w:val="18"/>
                <w:lang w:eastAsia="ro-MD"/>
              </w:rPr>
            </w:pPr>
          </w:p>
        </w:tc>
      </w:tr>
      <w:tr w:rsidR="0021002F" w:rsidRPr="009F3ADA" w14:paraId="1D28DE94" w14:textId="77777777" w:rsidTr="009A3811">
        <w:trPr>
          <w:trHeight w:val="145"/>
        </w:trPr>
        <w:tc>
          <w:tcPr>
            <w:tcW w:w="0" w:type="auto"/>
            <w:gridSpan w:val="2"/>
            <w:vMerge/>
            <w:hideMark/>
          </w:tcPr>
          <w:p w14:paraId="0BBA0F3E" w14:textId="77777777" w:rsidR="0021002F" w:rsidRPr="009F3ADA" w:rsidRDefault="0021002F" w:rsidP="0021002F">
            <w:pPr>
              <w:rPr>
                <w:rFonts w:ascii="Times New Roman" w:eastAsia="Times New Roman" w:hAnsi="Times New Roman" w:cs="Times New Roman"/>
                <w:b/>
                <w:bCs/>
                <w:sz w:val="18"/>
                <w:szCs w:val="18"/>
                <w:lang w:eastAsia="ro-MD"/>
              </w:rPr>
            </w:pPr>
          </w:p>
        </w:tc>
        <w:tc>
          <w:tcPr>
            <w:tcW w:w="0" w:type="auto"/>
            <w:hideMark/>
          </w:tcPr>
          <w:p w14:paraId="7BE786E0"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0010</w:t>
            </w:r>
          </w:p>
        </w:tc>
        <w:tc>
          <w:tcPr>
            <w:tcW w:w="0" w:type="auto"/>
            <w:hideMark/>
          </w:tcPr>
          <w:p w14:paraId="7C2E38E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0020</w:t>
            </w:r>
          </w:p>
        </w:tc>
        <w:tc>
          <w:tcPr>
            <w:tcW w:w="0" w:type="auto"/>
            <w:hideMark/>
          </w:tcPr>
          <w:p w14:paraId="144A0E1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0030</w:t>
            </w:r>
          </w:p>
        </w:tc>
        <w:tc>
          <w:tcPr>
            <w:tcW w:w="0" w:type="auto"/>
            <w:hideMark/>
          </w:tcPr>
          <w:p w14:paraId="780BAB9F"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0040</w:t>
            </w:r>
          </w:p>
        </w:tc>
        <w:tc>
          <w:tcPr>
            <w:tcW w:w="0" w:type="auto"/>
            <w:hideMark/>
          </w:tcPr>
          <w:p w14:paraId="72C3EB1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0050</w:t>
            </w:r>
          </w:p>
        </w:tc>
        <w:tc>
          <w:tcPr>
            <w:tcW w:w="0" w:type="auto"/>
            <w:hideMark/>
          </w:tcPr>
          <w:p w14:paraId="611EED2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0060</w:t>
            </w:r>
          </w:p>
        </w:tc>
        <w:tc>
          <w:tcPr>
            <w:tcW w:w="0" w:type="auto"/>
            <w:hideMark/>
          </w:tcPr>
          <w:p w14:paraId="7A7BFD1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0070</w:t>
            </w:r>
          </w:p>
        </w:tc>
        <w:tc>
          <w:tcPr>
            <w:tcW w:w="0" w:type="auto"/>
            <w:hideMark/>
          </w:tcPr>
          <w:p w14:paraId="01A9C0C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0080</w:t>
            </w:r>
          </w:p>
        </w:tc>
        <w:tc>
          <w:tcPr>
            <w:tcW w:w="0" w:type="auto"/>
            <w:hideMark/>
          </w:tcPr>
          <w:p w14:paraId="6855C00D"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0090</w:t>
            </w:r>
          </w:p>
        </w:tc>
        <w:tc>
          <w:tcPr>
            <w:tcW w:w="0" w:type="auto"/>
            <w:hideMark/>
          </w:tcPr>
          <w:p w14:paraId="3CB5952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0100</w:t>
            </w:r>
          </w:p>
        </w:tc>
      </w:tr>
      <w:tr w:rsidR="0021002F" w:rsidRPr="009F3ADA" w14:paraId="40E6AFB0" w14:textId="77777777" w:rsidTr="009A3811">
        <w:trPr>
          <w:trHeight w:val="1238"/>
        </w:trPr>
        <w:tc>
          <w:tcPr>
            <w:tcW w:w="0" w:type="auto"/>
            <w:hideMark/>
          </w:tcPr>
          <w:p w14:paraId="43EF9793"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0010</w:t>
            </w:r>
          </w:p>
        </w:tc>
        <w:tc>
          <w:tcPr>
            <w:tcW w:w="0" w:type="auto"/>
            <w:hideMark/>
          </w:tcPr>
          <w:p w14:paraId="5996CB00"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Volumul operațiunilor cu instrumente financiare derivate</w:t>
            </w:r>
          </w:p>
        </w:tc>
        <w:tc>
          <w:tcPr>
            <w:tcW w:w="0" w:type="auto"/>
            <w:hideMark/>
          </w:tcPr>
          <w:p w14:paraId="08F6AEB9"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A999C03"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20310C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AA6AB14"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66FE1EE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3DF4F29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90A6C4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1FE9DF0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6A1ED32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3B9792C7" w14:textId="06605056"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r>
      <w:tr w:rsidR="0021002F" w:rsidRPr="009F3ADA" w14:paraId="68F3BF5D" w14:textId="77777777" w:rsidTr="009A3811">
        <w:trPr>
          <w:trHeight w:val="1042"/>
        </w:trPr>
        <w:tc>
          <w:tcPr>
            <w:tcW w:w="0" w:type="auto"/>
            <w:hideMark/>
          </w:tcPr>
          <w:p w14:paraId="6CEED325"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0020</w:t>
            </w:r>
          </w:p>
        </w:tc>
        <w:tc>
          <w:tcPr>
            <w:tcW w:w="0" w:type="auto"/>
            <w:hideMark/>
          </w:tcPr>
          <w:p w14:paraId="212714F9"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xml:space="preserve">Instrumente financiare derivate bilanțiere și </w:t>
            </w:r>
            <w:proofErr w:type="spellStart"/>
            <w:r w:rsidRPr="009F3ADA">
              <w:rPr>
                <w:rFonts w:ascii="Times New Roman" w:eastAsia="Times New Roman" w:hAnsi="Times New Roman" w:cs="Times New Roman"/>
                <w:b/>
                <w:bCs/>
                <w:sz w:val="18"/>
                <w:szCs w:val="18"/>
                <w:lang w:eastAsia="ro-MD"/>
              </w:rPr>
              <w:t>extrabilanțiere</w:t>
            </w:r>
            <w:proofErr w:type="spellEnd"/>
          </w:p>
        </w:tc>
        <w:tc>
          <w:tcPr>
            <w:tcW w:w="0" w:type="auto"/>
            <w:hideMark/>
          </w:tcPr>
          <w:p w14:paraId="735C68E6"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3B31349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69BB7A9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5859F43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0DFB2FF6"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86BB08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565F3149"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1CF2911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20B400F6"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3495914B" w14:textId="37F6A00D"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r>
      <w:tr w:rsidR="0021002F" w:rsidRPr="009F3ADA" w14:paraId="0A3E54C9" w14:textId="77777777" w:rsidTr="009A3811">
        <w:trPr>
          <w:trHeight w:val="3550"/>
        </w:trPr>
        <w:tc>
          <w:tcPr>
            <w:tcW w:w="0" w:type="auto"/>
            <w:hideMark/>
          </w:tcPr>
          <w:p w14:paraId="6A0139CF"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0030</w:t>
            </w:r>
          </w:p>
        </w:tc>
        <w:tc>
          <w:tcPr>
            <w:tcW w:w="0" w:type="auto"/>
            <w:hideMark/>
          </w:tcPr>
          <w:p w14:paraId="4C13B109"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Instrumente financiare derivate de credit care sunt recunoscute ca acoperiri interne împotriva expunerilor la riscul de credit din afara portofoliului de tranzacționare</w:t>
            </w:r>
          </w:p>
        </w:tc>
        <w:tc>
          <w:tcPr>
            <w:tcW w:w="0" w:type="auto"/>
            <w:hideMark/>
          </w:tcPr>
          <w:p w14:paraId="2A7B8342"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5F673E69"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16D22E45"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1845C4A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47967F0E"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739518FF"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39ECD17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4D2CB28C"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46CA896A"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w:t>
            </w:r>
          </w:p>
        </w:tc>
        <w:tc>
          <w:tcPr>
            <w:tcW w:w="0" w:type="auto"/>
            <w:hideMark/>
          </w:tcPr>
          <w:p w14:paraId="63067834" w14:textId="07D2975D"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r>
      <w:tr w:rsidR="0021002F" w:rsidRPr="009F3ADA" w14:paraId="031B2BC1" w14:textId="77777777" w:rsidTr="009A3811">
        <w:trPr>
          <w:trHeight w:val="211"/>
        </w:trPr>
        <w:tc>
          <w:tcPr>
            <w:tcW w:w="0" w:type="auto"/>
            <w:hideMark/>
          </w:tcPr>
          <w:p w14:paraId="14475A18"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0040</w:t>
            </w:r>
          </w:p>
        </w:tc>
        <w:tc>
          <w:tcPr>
            <w:tcW w:w="0" w:type="auto"/>
            <w:hideMark/>
          </w:tcPr>
          <w:p w14:paraId="1058119B"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Total active</w:t>
            </w:r>
          </w:p>
        </w:tc>
        <w:tc>
          <w:tcPr>
            <w:tcW w:w="0" w:type="auto"/>
            <w:hideMark/>
          </w:tcPr>
          <w:p w14:paraId="1DA81458" w14:textId="66F50A21"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4212DD0" w14:textId="4ABCE1FB"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17E76719" w14:textId="4F04EB63"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236AD817" w14:textId="772C363B"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4F0B210" w14:textId="2F03066E"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30EBE322" w14:textId="3A0CC4EE"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64756897" w14:textId="6B9E7F68"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073A4F83" w14:textId="4BD5C7B9"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63090238" w14:textId="194D88DA"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6BA70FEF" w14:textId="35057665"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r>
      <w:tr w:rsidR="0021002F" w:rsidRPr="009F3ADA" w14:paraId="36492419" w14:textId="77777777" w:rsidTr="009A3811">
        <w:trPr>
          <w:trHeight w:val="619"/>
        </w:trPr>
        <w:tc>
          <w:tcPr>
            <w:tcW w:w="0" w:type="auto"/>
            <w:hideMark/>
          </w:tcPr>
          <w:p w14:paraId="446A3C31"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lastRenderedPageBreak/>
              <w:t>0050</w:t>
            </w:r>
          </w:p>
        </w:tc>
        <w:tc>
          <w:tcPr>
            <w:tcW w:w="0" w:type="auto"/>
            <w:hideMark/>
          </w:tcPr>
          <w:p w14:paraId="3A93FCAB" w14:textId="77777777" w:rsidR="0021002F" w:rsidRPr="009F3ADA" w:rsidRDefault="0021002F"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Procentaj din totalul activelor</w:t>
            </w:r>
          </w:p>
        </w:tc>
        <w:tc>
          <w:tcPr>
            <w:tcW w:w="0" w:type="auto"/>
            <w:hideMark/>
          </w:tcPr>
          <w:p w14:paraId="5A5106EF" w14:textId="635BE310"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7183DE5B" w14:textId="5722DB5E"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6AF63999" w14:textId="10C26540"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030C9C32" w14:textId="6F4676F8"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15D0D626" w14:textId="7D4EEF6B"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07B43B30" w14:textId="30766B70"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284F6094" w14:textId="5843C84B"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0838D3D4" w14:textId="3B67B8CB"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07231920" w14:textId="2DD9C364" w:rsidR="0021002F" w:rsidRPr="009F3ADA" w:rsidRDefault="0021002F" w:rsidP="00DD2956">
            <w:pPr>
              <w:jc w:val="center"/>
              <w:rPr>
                <w:rFonts w:ascii="Times New Roman" w:eastAsia="Times New Roman" w:hAnsi="Times New Roman" w:cs="Times New Roman"/>
                <w:b/>
                <w:bCs/>
                <w:sz w:val="18"/>
                <w:szCs w:val="18"/>
                <w:lang w:eastAsia="ro-MD"/>
              </w:rPr>
            </w:pPr>
          </w:p>
        </w:tc>
        <w:tc>
          <w:tcPr>
            <w:tcW w:w="0" w:type="auto"/>
            <w:hideMark/>
          </w:tcPr>
          <w:p w14:paraId="6887A170" w14:textId="4D77B7F6" w:rsidR="0021002F"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r>
      <w:tr w:rsidR="0021002F" w:rsidRPr="009F3ADA" w14:paraId="61053433" w14:textId="77777777" w:rsidTr="009A3811">
        <w:trPr>
          <w:trHeight w:val="211"/>
        </w:trPr>
        <w:tc>
          <w:tcPr>
            <w:tcW w:w="0" w:type="auto"/>
            <w:gridSpan w:val="12"/>
            <w:hideMark/>
          </w:tcPr>
          <w:p w14:paraId="2EFAA7D4" w14:textId="28C9F13F" w:rsidR="0021002F" w:rsidRPr="009F3ADA" w:rsidRDefault="00102983" w:rsidP="0021002F">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 xml:space="preserve">Derogare în conformitate cu </w:t>
            </w:r>
            <w:r w:rsidR="00782EBD" w:rsidRPr="009F3ADA">
              <w:rPr>
                <w:rFonts w:ascii="Times New Roman" w:eastAsia="Times New Roman" w:hAnsi="Times New Roman" w:cs="Times New Roman"/>
                <w:b/>
                <w:bCs/>
                <w:sz w:val="18"/>
                <w:szCs w:val="18"/>
                <w:lang w:eastAsia="ro-MD"/>
              </w:rPr>
              <w:t>punctul 2</w:t>
            </w:r>
            <w:r w:rsidR="00645EFA" w:rsidRPr="009F3ADA">
              <w:rPr>
                <w:rFonts w:ascii="Times New Roman" w:eastAsia="Times New Roman" w:hAnsi="Times New Roman" w:cs="Times New Roman"/>
                <w:b/>
                <w:bCs/>
                <w:sz w:val="18"/>
                <w:szCs w:val="18"/>
                <w:lang w:eastAsia="ro-MD"/>
              </w:rPr>
              <w:t>4</w:t>
            </w:r>
            <w:r w:rsidR="0021002F" w:rsidRPr="009F3ADA">
              <w:rPr>
                <w:rFonts w:ascii="Times New Roman" w:eastAsia="Times New Roman" w:hAnsi="Times New Roman" w:cs="Times New Roman"/>
                <w:b/>
                <w:bCs/>
                <w:sz w:val="18"/>
                <w:szCs w:val="18"/>
                <w:lang w:eastAsia="ro-MD"/>
              </w:rPr>
              <w:t xml:space="preserve"> din </w:t>
            </w:r>
            <w:r w:rsidR="003445D6" w:rsidRPr="009F3ADA">
              <w:rPr>
                <w:rFonts w:ascii="Times New Roman" w:eastAsia="Times New Roman" w:hAnsi="Times New Roman" w:cs="Times New Roman"/>
                <w:b/>
                <w:bCs/>
                <w:sz w:val="18"/>
                <w:szCs w:val="18"/>
                <w:lang w:eastAsia="ro-MD"/>
              </w:rPr>
              <w:t xml:space="preserve">Regulamentul </w:t>
            </w:r>
            <w:r w:rsidR="00E972F3" w:rsidRPr="009F3ADA">
              <w:rPr>
                <w:rFonts w:ascii="Times New Roman" w:eastAsia="Times New Roman" w:hAnsi="Times New Roman" w:cs="Times New Roman"/>
                <w:b/>
                <w:bCs/>
                <w:sz w:val="18"/>
                <w:szCs w:val="18"/>
                <w:lang w:eastAsia="ro-MD"/>
              </w:rPr>
              <w:t xml:space="preserve">nr.220/2025 </w:t>
            </w:r>
            <w:r w:rsidR="003445D6" w:rsidRPr="009F3ADA">
              <w:rPr>
                <w:rFonts w:ascii="Times New Roman" w:eastAsia="Times New Roman" w:hAnsi="Times New Roman" w:cs="Times New Roman"/>
                <w:b/>
                <w:bCs/>
                <w:sz w:val="18"/>
                <w:szCs w:val="18"/>
                <w:lang w:eastAsia="ro-MD"/>
              </w:rPr>
              <w:t xml:space="preserve">cu privire la tratamentul riscului de credit al </w:t>
            </w:r>
            <w:proofErr w:type="spellStart"/>
            <w:r w:rsidR="003445D6" w:rsidRPr="009F3ADA">
              <w:rPr>
                <w:rFonts w:ascii="Times New Roman" w:eastAsia="Times New Roman" w:hAnsi="Times New Roman" w:cs="Times New Roman"/>
                <w:b/>
                <w:bCs/>
                <w:sz w:val="18"/>
                <w:szCs w:val="18"/>
                <w:lang w:eastAsia="ro-MD"/>
              </w:rPr>
              <w:t>contrapărţii</w:t>
            </w:r>
            <w:proofErr w:type="spellEnd"/>
            <w:r w:rsidR="003445D6" w:rsidRPr="009F3ADA">
              <w:rPr>
                <w:rFonts w:ascii="Times New Roman" w:eastAsia="Times New Roman" w:hAnsi="Times New Roman" w:cs="Times New Roman"/>
                <w:b/>
                <w:bCs/>
                <w:sz w:val="18"/>
                <w:szCs w:val="18"/>
                <w:lang w:eastAsia="ro-MD"/>
              </w:rPr>
              <w:t xml:space="preserve"> pentru bănci</w:t>
            </w:r>
          </w:p>
        </w:tc>
      </w:tr>
      <w:tr w:rsidR="00DD2956" w:rsidRPr="009F3ADA" w14:paraId="44EAF23D" w14:textId="77777777" w:rsidTr="009A3811">
        <w:trPr>
          <w:trHeight w:val="2915"/>
        </w:trPr>
        <w:tc>
          <w:tcPr>
            <w:tcW w:w="0" w:type="auto"/>
            <w:hideMark/>
          </w:tcPr>
          <w:p w14:paraId="1FB06D9C" w14:textId="77777777" w:rsidR="00DD2956" w:rsidRPr="009F3ADA" w:rsidRDefault="00DD2956" w:rsidP="00DD2956">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0060</w:t>
            </w:r>
          </w:p>
        </w:tc>
        <w:tc>
          <w:tcPr>
            <w:tcW w:w="0" w:type="auto"/>
            <w:hideMark/>
          </w:tcPr>
          <w:p w14:paraId="4E69AE6C" w14:textId="7D9BF4DE" w:rsidR="00DD2956" w:rsidRPr="009F3ADA" w:rsidRDefault="00DD2956" w:rsidP="00DD2956">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Sunt îndeplinite condițiile prevăzute la punctul 2</w:t>
            </w:r>
            <w:r w:rsidR="00645EFA" w:rsidRPr="009F3ADA">
              <w:rPr>
                <w:rFonts w:ascii="Times New Roman" w:eastAsia="Times New Roman" w:hAnsi="Times New Roman" w:cs="Times New Roman"/>
                <w:b/>
                <w:bCs/>
                <w:sz w:val="18"/>
                <w:szCs w:val="18"/>
                <w:lang w:eastAsia="ro-MD"/>
              </w:rPr>
              <w:t>4</w:t>
            </w:r>
            <w:r w:rsidRPr="009F3ADA">
              <w:rPr>
                <w:rFonts w:ascii="Times New Roman" w:eastAsia="Times New Roman" w:hAnsi="Times New Roman" w:cs="Times New Roman"/>
                <w:b/>
                <w:bCs/>
                <w:sz w:val="18"/>
                <w:szCs w:val="18"/>
                <w:lang w:eastAsia="ro-MD"/>
              </w:rPr>
              <w:t xml:space="preserve"> din Regulamentul</w:t>
            </w:r>
            <w:r w:rsidR="00E972F3" w:rsidRPr="009F3ADA">
              <w:rPr>
                <w:kern w:val="0"/>
                <w14:ligatures w14:val="none"/>
              </w:rPr>
              <w:t xml:space="preserve"> </w:t>
            </w:r>
            <w:r w:rsidR="00E972F3" w:rsidRPr="009F3ADA">
              <w:rPr>
                <w:rFonts w:ascii="Times New Roman" w:eastAsia="Times New Roman" w:hAnsi="Times New Roman" w:cs="Times New Roman"/>
                <w:b/>
                <w:bCs/>
                <w:sz w:val="18"/>
                <w:szCs w:val="18"/>
                <w:lang w:eastAsia="ro-MD"/>
              </w:rPr>
              <w:t xml:space="preserve">nr.220/2025 </w:t>
            </w:r>
            <w:r w:rsidRPr="009F3ADA">
              <w:rPr>
                <w:rFonts w:ascii="Times New Roman" w:eastAsia="Times New Roman" w:hAnsi="Times New Roman" w:cs="Times New Roman"/>
                <w:b/>
                <w:bCs/>
                <w:sz w:val="18"/>
                <w:szCs w:val="18"/>
                <w:lang w:eastAsia="ro-MD"/>
              </w:rPr>
              <w:t xml:space="preserve"> cu privire la tratamentul riscului de credit al </w:t>
            </w:r>
            <w:proofErr w:type="spellStart"/>
            <w:r w:rsidRPr="009F3ADA">
              <w:rPr>
                <w:rFonts w:ascii="Times New Roman" w:eastAsia="Times New Roman" w:hAnsi="Times New Roman" w:cs="Times New Roman"/>
                <w:b/>
                <w:bCs/>
                <w:sz w:val="18"/>
                <w:szCs w:val="18"/>
                <w:lang w:eastAsia="ro-MD"/>
              </w:rPr>
              <w:t>contrapărţii</w:t>
            </w:r>
            <w:proofErr w:type="spellEnd"/>
            <w:r w:rsidRPr="009F3ADA">
              <w:rPr>
                <w:rFonts w:ascii="Times New Roman" w:eastAsia="Times New Roman" w:hAnsi="Times New Roman" w:cs="Times New Roman"/>
                <w:b/>
                <w:bCs/>
                <w:sz w:val="18"/>
                <w:szCs w:val="18"/>
                <w:lang w:eastAsia="ro-MD"/>
              </w:rPr>
              <w:t xml:space="preserve"> pentru bănci, inclusiv aprobarea </w:t>
            </w:r>
            <w:r w:rsidR="0045015B" w:rsidRPr="009F3ADA">
              <w:rPr>
                <w:rFonts w:ascii="Times New Roman" w:eastAsia="Times New Roman" w:hAnsi="Times New Roman" w:cs="Times New Roman"/>
                <w:b/>
                <w:bCs/>
                <w:sz w:val="18"/>
                <w:szCs w:val="18"/>
                <w:lang w:eastAsia="ro-MD"/>
              </w:rPr>
              <w:t xml:space="preserve">Băncii Naționale a Moldovei </w:t>
            </w:r>
            <w:r w:rsidRPr="009F3ADA">
              <w:rPr>
                <w:rFonts w:ascii="Times New Roman" w:eastAsia="Times New Roman" w:hAnsi="Times New Roman" w:cs="Times New Roman"/>
                <w:b/>
                <w:bCs/>
                <w:sz w:val="18"/>
                <w:szCs w:val="18"/>
                <w:lang w:eastAsia="ro-MD"/>
              </w:rPr>
              <w:t>?</w:t>
            </w:r>
          </w:p>
        </w:tc>
        <w:tc>
          <w:tcPr>
            <w:tcW w:w="0" w:type="auto"/>
            <w:hideMark/>
          </w:tcPr>
          <w:p w14:paraId="47553A47" w14:textId="6C0534A9"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2BA995DA" w14:textId="1BF59918"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23E6A0CB" w14:textId="4831AB6A"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61B341FE" w14:textId="269423CF"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34F79A98" w14:textId="40140844"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19F29396" w14:textId="6E0382A9"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0A149738" w14:textId="1A5FC379"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2F9FBE3" w14:textId="6ECB07D9"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B410450" w14:textId="526E0E8B"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684F4A86" w14:textId="4F2F9B53" w:rsidR="00DD2956" w:rsidRPr="009F3ADA" w:rsidRDefault="00DD2956" w:rsidP="00DD2956">
            <w:pPr>
              <w:jc w:val="center"/>
              <w:rPr>
                <w:rFonts w:ascii="Times New Roman" w:eastAsia="Times New Roman" w:hAnsi="Times New Roman" w:cs="Times New Roman"/>
                <w:b/>
                <w:bCs/>
                <w:sz w:val="18"/>
                <w:szCs w:val="18"/>
                <w:lang w:eastAsia="ro-MD"/>
              </w:rPr>
            </w:pPr>
          </w:p>
        </w:tc>
      </w:tr>
      <w:tr w:rsidR="00DD2956" w:rsidRPr="009F3ADA" w14:paraId="2302534B" w14:textId="77777777" w:rsidTr="009A3811">
        <w:trPr>
          <w:trHeight w:val="1253"/>
        </w:trPr>
        <w:tc>
          <w:tcPr>
            <w:tcW w:w="0" w:type="auto"/>
            <w:hideMark/>
          </w:tcPr>
          <w:p w14:paraId="045BD5CC" w14:textId="77777777" w:rsidR="00DD2956" w:rsidRPr="009F3ADA" w:rsidRDefault="00DD2956" w:rsidP="00DD2956">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0070</w:t>
            </w:r>
          </w:p>
        </w:tc>
        <w:tc>
          <w:tcPr>
            <w:tcW w:w="0" w:type="auto"/>
            <w:hideMark/>
          </w:tcPr>
          <w:p w14:paraId="52259919" w14:textId="77777777" w:rsidR="00DD2956" w:rsidRPr="009F3ADA" w:rsidRDefault="00DD2956" w:rsidP="00DD2956">
            <w:pP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Metoda de calcul al valorilor expunerilor la nivel consolidat</w:t>
            </w:r>
          </w:p>
        </w:tc>
        <w:tc>
          <w:tcPr>
            <w:tcW w:w="0" w:type="auto"/>
            <w:hideMark/>
          </w:tcPr>
          <w:p w14:paraId="076F3172" w14:textId="1EC23846"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4FC8A254" w14:textId="37FEE205"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F084808" w14:textId="3489D3EE"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BC03ABD" w14:textId="1C2E8794"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789A4AB6" w14:textId="5B8DE7D3"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2311117" w14:textId="17B874A6"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3F698BA1" w14:textId="66DAB127"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4F1E6505" w14:textId="7DF8F222"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5C16603C" w14:textId="6330BEA4" w:rsidR="00DD2956" w:rsidRPr="009F3ADA" w:rsidRDefault="00DD2956" w:rsidP="00DD2956">
            <w:pPr>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X</w:t>
            </w:r>
          </w:p>
        </w:tc>
        <w:tc>
          <w:tcPr>
            <w:tcW w:w="0" w:type="auto"/>
            <w:hideMark/>
          </w:tcPr>
          <w:p w14:paraId="6176BB75" w14:textId="59F6FE9C" w:rsidR="00DD2956" w:rsidRPr="009F3ADA" w:rsidRDefault="00DD2956" w:rsidP="00DD2956">
            <w:pPr>
              <w:jc w:val="center"/>
              <w:rPr>
                <w:rFonts w:ascii="Times New Roman" w:eastAsia="Times New Roman" w:hAnsi="Times New Roman" w:cs="Times New Roman"/>
                <w:b/>
                <w:bCs/>
                <w:sz w:val="18"/>
                <w:szCs w:val="18"/>
                <w:lang w:eastAsia="ro-MD"/>
              </w:rPr>
            </w:pPr>
          </w:p>
        </w:tc>
      </w:tr>
    </w:tbl>
    <w:p w14:paraId="5BCA351A" w14:textId="44F89A4E" w:rsidR="00F177CC" w:rsidRPr="009F3ADA" w:rsidRDefault="00F177CC" w:rsidP="001C3979">
      <w:pPr>
        <w:spacing w:after="0" w:line="240" w:lineRule="auto"/>
        <w:rPr>
          <w:rFonts w:ascii="Times New Roman" w:eastAsia="Times New Roman" w:hAnsi="Times New Roman" w:cs="Times New Roman"/>
          <w:b/>
          <w:bCs/>
          <w:sz w:val="24"/>
          <w:szCs w:val="24"/>
          <w:lang w:eastAsia="ro-MD"/>
        </w:rPr>
      </w:pPr>
    </w:p>
    <w:p w14:paraId="1D742588"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599321F0"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4D6F9730"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6FD0725C"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2B6C68BB"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423CD186"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32C87459"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3EEEF6F8"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4672B1DC" w14:textId="77777777" w:rsidR="00256C94" w:rsidRPr="009F3ADA" w:rsidRDefault="00256C94" w:rsidP="001C3979">
      <w:pPr>
        <w:spacing w:after="0" w:line="240" w:lineRule="auto"/>
        <w:rPr>
          <w:rFonts w:ascii="Times New Roman" w:eastAsia="Times New Roman" w:hAnsi="Times New Roman" w:cs="Times New Roman"/>
          <w:b/>
          <w:bCs/>
          <w:sz w:val="24"/>
          <w:szCs w:val="24"/>
          <w:lang w:eastAsia="ro-MD"/>
        </w:rPr>
      </w:pPr>
    </w:p>
    <w:p w14:paraId="4A8AFC3C" w14:textId="77777777" w:rsidR="00A657C5" w:rsidRPr="009F3ADA" w:rsidRDefault="00A657C5" w:rsidP="0022503B">
      <w:pPr>
        <w:rPr>
          <w:rFonts w:ascii="Times New Roman" w:hAnsi="Times New Roman" w:cs="Times New Roman"/>
          <w:sz w:val="24"/>
          <w:szCs w:val="24"/>
        </w:rPr>
        <w:sectPr w:rsidR="00A657C5" w:rsidRPr="009F3ADA" w:rsidSect="0084206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678" w:bottom="851" w:left="1134" w:header="709" w:footer="709" w:gutter="0"/>
          <w:cols w:space="708"/>
          <w:docGrid w:linePitch="360"/>
        </w:sectPr>
      </w:pPr>
    </w:p>
    <w:p w14:paraId="52C09007" w14:textId="77777777" w:rsidR="0022503B" w:rsidRPr="009F3ADA" w:rsidRDefault="0022503B" w:rsidP="0022503B">
      <w:pPr>
        <w:rPr>
          <w:rFonts w:ascii="Times New Roman" w:hAnsi="Times New Roman" w:cs="Times New Roman"/>
          <w:sz w:val="24"/>
          <w:szCs w:val="24"/>
        </w:rPr>
      </w:pPr>
    </w:p>
    <w:p w14:paraId="7732AF7E" w14:textId="244CFC8C" w:rsidR="00101E8E" w:rsidRPr="009F3ADA" w:rsidRDefault="00101E8E" w:rsidP="00101E8E">
      <w:pPr>
        <w:spacing w:before="100" w:beforeAutospacing="1" w:after="100" w:afterAutospacing="1"/>
        <w:rPr>
          <w:rFonts w:ascii="Times New Roman" w:eastAsia="Calibri" w:hAnsi="Times New Roman" w:cs="Times New Roman"/>
          <w:sz w:val="24"/>
          <w:szCs w:val="24"/>
          <w:lang w:val="en-US"/>
        </w:rPr>
      </w:pPr>
      <w:r w:rsidRPr="009F3ADA">
        <w:rPr>
          <w:rFonts w:ascii="Times New Roman" w:eastAsia="Times New Roman" w:hAnsi="Times New Roman" w:cs="Times New Roman"/>
          <w:color w:val="000000"/>
          <w:sz w:val="24"/>
          <w:szCs w:val="24"/>
          <w:lang w:val="en-US"/>
        </w:rPr>
        <w:t xml:space="preserve">Modul de </w:t>
      </w:r>
      <w:r w:rsidRPr="009F3ADA">
        <w:rPr>
          <w:rFonts w:ascii="Times New Roman" w:eastAsia="Times New Roman" w:hAnsi="Times New Roman" w:cs="Times New Roman"/>
          <w:color w:val="000000"/>
          <w:sz w:val="24"/>
          <w:szCs w:val="24"/>
        </w:rPr>
        <w:t>completare</w:t>
      </w:r>
      <w:r w:rsidRPr="009F3ADA">
        <w:rPr>
          <w:rFonts w:ascii="Times New Roman" w:eastAsia="Times New Roman" w:hAnsi="Times New Roman" w:cs="Times New Roman"/>
          <w:color w:val="000000"/>
          <w:sz w:val="24"/>
          <w:szCs w:val="24"/>
          <w:lang w:val="en-US"/>
        </w:rPr>
        <w:t xml:space="preserve"> a </w:t>
      </w:r>
      <w:r w:rsidRPr="009F3ADA">
        <w:rPr>
          <w:rFonts w:ascii="Times New Roman" w:eastAsia="Times New Roman" w:hAnsi="Times New Roman" w:cs="Times New Roman"/>
          <w:color w:val="000000"/>
          <w:sz w:val="24"/>
          <w:szCs w:val="24"/>
        </w:rPr>
        <w:t>raportului</w:t>
      </w:r>
      <w:r w:rsidRPr="009F3ADA">
        <w:rPr>
          <w:rFonts w:ascii="Times New Roman" w:eastAsia="Calibri" w:hAnsi="Times New Roman" w:cs="Times New Roman"/>
          <w:sz w:val="24"/>
          <w:szCs w:val="24"/>
          <w:lang w:val="en-US"/>
        </w:rPr>
        <w:t xml:space="preserve"> </w:t>
      </w:r>
    </w:p>
    <w:p w14:paraId="7149E204" w14:textId="77777777" w:rsidR="008B5F44" w:rsidRPr="009F3ADA" w:rsidRDefault="00101E8E" w:rsidP="008B5F44">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xml:space="preserve">C </w:t>
      </w:r>
      <w:r w:rsidR="009E4E75" w:rsidRPr="009F3ADA">
        <w:rPr>
          <w:rFonts w:ascii="Times New Roman" w:eastAsia="Times New Roman" w:hAnsi="Times New Roman" w:cs="Times New Roman"/>
          <w:b/>
          <w:bCs/>
          <w:sz w:val="24"/>
          <w:szCs w:val="24"/>
          <w:lang w:eastAsia="ro-MD"/>
        </w:rPr>
        <w:t>34</w:t>
      </w:r>
      <w:r w:rsidRPr="009F3ADA">
        <w:rPr>
          <w:rFonts w:ascii="Times New Roman" w:eastAsia="Times New Roman" w:hAnsi="Times New Roman" w:cs="Times New Roman"/>
          <w:b/>
          <w:bCs/>
          <w:sz w:val="24"/>
          <w:szCs w:val="24"/>
          <w:lang w:eastAsia="ro-MD"/>
        </w:rPr>
        <w:t>.01 -</w:t>
      </w:r>
      <w:r w:rsidR="0081373C" w:rsidRPr="009F3ADA">
        <w:rPr>
          <w:rFonts w:ascii="Times New Roman" w:eastAsia="Times New Roman" w:hAnsi="Times New Roman" w:cs="Times New Roman"/>
          <w:b/>
          <w:bCs/>
          <w:sz w:val="24"/>
          <w:szCs w:val="24"/>
          <w:lang w:eastAsia="ro-MD"/>
        </w:rPr>
        <w:t xml:space="preserve"> </w:t>
      </w:r>
      <w:r w:rsidR="008B5F44" w:rsidRPr="009F3ADA">
        <w:rPr>
          <w:rFonts w:ascii="Times New Roman" w:eastAsia="Times New Roman" w:hAnsi="Times New Roman" w:cs="Times New Roman"/>
          <w:b/>
          <w:bCs/>
          <w:sz w:val="24"/>
          <w:szCs w:val="24"/>
          <w:lang w:eastAsia="ro-MD"/>
        </w:rPr>
        <w:t>RISCUL DE CREDIT AL CONTRAPĂRȚII: VOLUMUL OPERAȚIUNILOR CU INSTRUMENTE FINANCIARE DERIVATE (CCR 1)</w:t>
      </w:r>
    </w:p>
    <w:p w14:paraId="35641911" w14:textId="40D5C0F1" w:rsidR="009A34D9" w:rsidRPr="009F3ADA" w:rsidRDefault="00101E8E" w:rsidP="00610D41">
      <w:pPr>
        <w:spacing w:before="100" w:beforeAutospacing="1" w:after="100" w:afterAutospacing="1"/>
        <w:rPr>
          <w:rFonts w:ascii="Times New Roman" w:eastAsia="Times New Roman" w:hAnsi="Times New Roman" w:cs="Times New Roman"/>
          <w:bCs/>
          <w:color w:val="000000"/>
          <w:sz w:val="24"/>
          <w:szCs w:val="24"/>
        </w:rPr>
      </w:pPr>
      <w:r w:rsidRPr="009F3ADA">
        <w:rPr>
          <w:rFonts w:ascii="Times New Roman" w:eastAsia="Times New Roman" w:hAnsi="Times New Roman" w:cs="Times New Roman"/>
          <w:bCs/>
          <w:color w:val="000000"/>
          <w:sz w:val="24"/>
          <w:szCs w:val="24"/>
        </w:rPr>
        <w:t xml:space="preserve">Instrucțiuni pentru anumite </w:t>
      </w:r>
      <w:r w:rsidR="00610D41" w:rsidRPr="009F3ADA">
        <w:rPr>
          <w:rFonts w:ascii="Times New Roman" w:eastAsia="Times New Roman" w:hAnsi="Times New Roman" w:cs="Times New Roman"/>
          <w:bCs/>
          <w:color w:val="000000"/>
          <w:sz w:val="24"/>
          <w:szCs w:val="24"/>
        </w:rPr>
        <w:t>poziții</w:t>
      </w:r>
    </w:p>
    <w:tbl>
      <w:tblPr>
        <w:tblW w:w="892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40"/>
        <w:gridCol w:w="7783"/>
      </w:tblGrid>
      <w:tr w:rsidR="00D952C4" w:rsidRPr="009F3ADA" w14:paraId="2C75986C" w14:textId="55D74DEC" w:rsidTr="006B7615">
        <w:tc>
          <w:tcPr>
            <w:tcW w:w="8923" w:type="dxa"/>
            <w:gridSpan w:val="2"/>
            <w:tcBorders>
              <w:top w:val="outset" w:sz="6" w:space="0" w:color="auto"/>
              <w:left w:val="outset" w:sz="6" w:space="0" w:color="auto"/>
              <w:bottom w:val="outset" w:sz="6" w:space="0" w:color="auto"/>
              <w:right w:val="outset" w:sz="6" w:space="0" w:color="auto"/>
            </w:tcBorders>
            <w:shd w:val="clear" w:color="auto" w:fill="FFFFFF"/>
          </w:tcPr>
          <w:p w14:paraId="17442614" w14:textId="41E1BE28" w:rsidR="00D952C4" w:rsidRPr="009F3ADA" w:rsidRDefault="00D952C4" w:rsidP="009A34D9">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 xml:space="preserve">Coloane </w:t>
            </w:r>
          </w:p>
        </w:tc>
      </w:tr>
      <w:tr w:rsidR="00D952C4" w:rsidRPr="009F3ADA" w14:paraId="3156B375" w14:textId="77777777" w:rsidTr="005B2081">
        <w:tc>
          <w:tcPr>
            <w:tcW w:w="0" w:type="auto"/>
            <w:tcBorders>
              <w:top w:val="outset" w:sz="6" w:space="0" w:color="auto"/>
              <w:left w:val="outset" w:sz="6" w:space="0" w:color="auto"/>
              <w:bottom w:val="outset" w:sz="6" w:space="0" w:color="auto"/>
              <w:right w:val="outset" w:sz="6" w:space="0" w:color="auto"/>
            </w:tcBorders>
            <w:shd w:val="clear" w:color="auto" w:fill="FFFFFF"/>
          </w:tcPr>
          <w:p w14:paraId="767F11D6" w14:textId="4579D601" w:rsidR="00D952C4" w:rsidRPr="009F3ADA" w:rsidRDefault="00D952C4" w:rsidP="00D952C4">
            <w:pPr>
              <w:spacing w:before="60" w:after="60" w:line="312" w:lineRule="atLeast"/>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0010,0040, 0070</w:t>
            </w:r>
          </w:p>
        </w:tc>
        <w:tc>
          <w:tcPr>
            <w:tcW w:w="7783" w:type="dxa"/>
            <w:tcBorders>
              <w:top w:val="outset" w:sz="6" w:space="0" w:color="auto"/>
              <w:left w:val="outset" w:sz="6" w:space="0" w:color="auto"/>
              <w:bottom w:val="outset" w:sz="6" w:space="0" w:color="auto"/>
              <w:right w:val="outset" w:sz="6" w:space="0" w:color="auto"/>
            </w:tcBorders>
            <w:shd w:val="clear" w:color="auto" w:fill="FFFFFF"/>
          </w:tcPr>
          <w:p w14:paraId="6E13C34C" w14:textId="77777777" w:rsidR="00D952C4" w:rsidRPr="009F3ADA" w:rsidRDefault="00D952C4" w:rsidP="00D952C4">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 xml:space="preserve">POZIŢII LUNGI PE INSTRUMENTE FINANCIARE DERIVATE </w:t>
            </w:r>
          </w:p>
          <w:p w14:paraId="073819C6" w14:textId="7F5F5B26" w:rsidR="00D952C4" w:rsidRPr="009F3ADA" w:rsidRDefault="00D952C4" w:rsidP="00D952C4">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Punct</w:t>
            </w:r>
            <w:r w:rsidR="00E54BC8" w:rsidRPr="009F3ADA">
              <w:rPr>
                <w:rFonts w:ascii="Times New Roman" w:eastAsia="Times New Roman" w:hAnsi="Times New Roman" w:cs="Times New Roman"/>
                <w:b/>
                <w:bCs/>
                <w:color w:val="333333"/>
                <w:sz w:val="24"/>
                <w:szCs w:val="24"/>
                <w:lang w:eastAsia="ro-MD"/>
              </w:rPr>
              <w:t xml:space="preserve">ele </w:t>
            </w:r>
            <w:r w:rsidRPr="009F3ADA">
              <w:rPr>
                <w:rFonts w:ascii="Times New Roman" w:eastAsia="Times New Roman" w:hAnsi="Times New Roman" w:cs="Times New Roman"/>
                <w:b/>
                <w:bCs/>
                <w:color w:val="333333"/>
                <w:sz w:val="24"/>
                <w:szCs w:val="24"/>
                <w:lang w:eastAsia="ro-MD"/>
              </w:rPr>
              <w:t>22</w:t>
            </w:r>
            <w:r w:rsidR="00E54BC8" w:rsidRPr="009F3ADA">
              <w:rPr>
                <w:rFonts w:ascii="Times New Roman" w:eastAsia="Times New Roman" w:hAnsi="Times New Roman" w:cs="Times New Roman"/>
                <w:b/>
                <w:bCs/>
                <w:color w:val="333333"/>
                <w:sz w:val="24"/>
                <w:szCs w:val="24"/>
                <w:lang w:eastAsia="ro-MD"/>
              </w:rPr>
              <w:t xml:space="preserve"> și 23</w:t>
            </w:r>
            <w:r w:rsidRPr="009F3ADA">
              <w:rPr>
                <w:rFonts w:ascii="Times New Roman" w:eastAsia="Times New Roman" w:hAnsi="Times New Roman" w:cs="Times New Roman"/>
                <w:b/>
                <w:bCs/>
                <w:color w:val="333333"/>
                <w:sz w:val="24"/>
                <w:szCs w:val="24"/>
                <w:lang w:eastAsia="ro-MD"/>
              </w:rPr>
              <w:t xml:space="preserve"> din Regulamentul </w:t>
            </w:r>
            <w:r w:rsidR="00E972F3" w:rsidRPr="009F3ADA">
              <w:rPr>
                <w:rFonts w:ascii="Times New Roman" w:eastAsia="Times New Roman" w:hAnsi="Times New Roman" w:cs="Times New Roman"/>
                <w:b/>
                <w:bCs/>
                <w:color w:val="333333"/>
                <w:sz w:val="24"/>
                <w:szCs w:val="24"/>
                <w:lang w:eastAsia="ro-MD"/>
              </w:rPr>
              <w:t xml:space="preserve">nr.220/2025 </w:t>
            </w:r>
            <w:r w:rsidRPr="009F3ADA">
              <w:rPr>
                <w:rFonts w:ascii="Times New Roman" w:eastAsia="Times New Roman" w:hAnsi="Times New Roman" w:cs="Times New Roman"/>
                <w:b/>
                <w:bCs/>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b/>
                <w:bCs/>
                <w:color w:val="333333"/>
                <w:sz w:val="24"/>
                <w:szCs w:val="24"/>
                <w:lang w:eastAsia="ro-MD"/>
              </w:rPr>
              <w:t>contrapărţii</w:t>
            </w:r>
            <w:proofErr w:type="spellEnd"/>
            <w:r w:rsidRPr="009F3ADA">
              <w:rPr>
                <w:rFonts w:ascii="Times New Roman" w:eastAsia="Times New Roman" w:hAnsi="Times New Roman" w:cs="Times New Roman"/>
                <w:b/>
                <w:bCs/>
                <w:color w:val="333333"/>
                <w:sz w:val="24"/>
                <w:szCs w:val="24"/>
                <w:lang w:eastAsia="ro-MD"/>
              </w:rPr>
              <w:t xml:space="preserve"> pentru bănci </w:t>
            </w:r>
          </w:p>
          <w:p w14:paraId="03DC3129" w14:textId="7471B709" w:rsidR="00D952C4" w:rsidRPr="009F3ADA" w:rsidRDefault="00D952C4" w:rsidP="00D952C4">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Se </w:t>
            </w:r>
            <w:r w:rsidR="00DD57E3" w:rsidRPr="009F3ADA">
              <w:rPr>
                <w:rFonts w:ascii="Times New Roman" w:eastAsia="Times New Roman" w:hAnsi="Times New Roman" w:cs="Times New Roman"/>
                <w:color w:val="333333"/>
                <w:sz w:val="24"/>
                <w:szCs w:val="24"/>
                <w:lang w:eastAsia="ro-MD"/>
              </w:rPr>
              <w:t xml:space="preserve">reflectă </w:t>
            </w:r>
            <w:r w:rsidRPr="009F3ADA">
              <w:rPr>
                <w:rFonts w:ascii="Times New Roman" w:eastAsia="Times New Roman" w:hAnsi="Times New Roman" w:cs="Times New Roman"/>
                <w:color w:val="333333"/>
                <w:sz w:val="24"/>
                <w:szCs w:val="24"/>
                <w:lang w:eastAsia="ro-MD"/>
              </w:rPr>
              <w:t xml:space="preserve">suma valorilor de </w:t>
            </w:r>
            <w:proofErr w:type="spellStart"/>
            <w:r w:rsidRPr="009F3ADA">
              <w:rPr>
                <w:rFonts w:ascii="Times New Roman" w:eastAsia="Times New Roman" w:hAnsi="Times New Roman" w:cs="Times New Roman"/>
                <w:color w:val="333333"/>
                <w:sz w:val="24"/>
                <w:szCs w:val="24"/>
                <w:lang w:eastAsia="ro-MD"/>
              </w:rPr>
              <w:t>piaţă</w:t>
            </w:r>
            <w:proofErr w:type="spellEnd"/>
            <w:r w:rsidRPr="009F3ADA">
              <w:rPr>
                <w:rFonts w:ascii="Times New Roman" w:eastAsia="Times New Roman" w:hAnsi="Times New Roman" w:cs="Times New Roman"/>
                <w:color w:val="333333"/>
                <w:sz w:val="24"/>
                <w:szCs w:val="24"/>
                <w:lang w:eastAsia="ro-MD"/>
              </w:rPr>
              <w:t xml:space="preserve"> absolute ale </w:t>
            </w:r>
            <w:proofErr w:type="spellStart"/>
            <w:r w:rsidRPr="009F3ADA">
              <w:rPr>
                <w:rFonts w:ascii="Times New Roman" w:eastAsia="Times New Roman" w:hAnsi="Times New Roman" w:cs="Times New Roman"/>
                <w:color w:val="333333"/>
                <w:sz w:val="24"/>
                <w:szCs w:val="24"/>
                <w:lang w:eastAsia="ro-MD"/>
              </w:rPr>
              <w:t>poziţiilor</w:t>
            </w:r>
            <w:proofErr w:type="spellEnd"/>
            <w:r w:rsidRPr="009F3ADA">
              <w:rPr>
                <w:rFonts w:ascii="Times New Roman" w:eastAsia="Times New Roman" w:hAnsi="Times New Roman" w:cs="Times New Roman"/>
                <w:color w:val="333333"/>
                <w:sz w:val="24"/>
                <w:szCs w:val="24"/>
                <w:lang w:eastAsia="ro-MD"/>
              </w:rPr>
              <w:t xml:space="preserve"> lungi pe instrumente financiare derivate din ultima zi a lunii.</w:t>
            </w:r>
          </w:p>
        </w:tc>
      </w:tr>
      <w:tr w:rsidR="00D952C4" w:rsidRPr="009F3ADA" w14:paraId="2858B46B" w14:textId="70A9C997" w:rsidTr="005B208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3A9DA" w14:textId="77777777"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0020,0050, </w:t>
            </w:r>
          </w:p>
          <w:p w14:paraId="366521D4" w14:textId="4EA7E96F"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0080</w:t>
            </w:r>
          </w:p>
        </w:tc>
        <w:tc>
          <w:tcPr>
            <w:tcW w:w="7783" w:type="dxa"/>
            <w:tcBorders>
              <w:top w:val="outset" w:sz="6" w:space="0" w:color="auto"/>
              <w:left w:val="outset" w:sz="6" w:space="0" w:color="auto"/>
              <w:bottom w:val="outset" w:sz="6" w:space="0" w:color="auto"/>
              <w:right w:val="outset" w:sz="6" w:space="0" w:color="auto"/>
            </w:tcBorders>
            <w:shd w:val="clear" w:color="auto" w:fill="FFFFFF"/>
            <w:hideMark/>
          </w:tcPr>
          <w:p w14:paraId="73679975" w14:textId="77777777" w:rsidR="00D952C4" w:rsidRPr="009F3ADA" w:rsidRDefault="00D952C4" w:rsidP="00D952C4">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 xml:space="preserve">POZIŢII SCURTE PE INSTRUMENTE FINANCIARE DERIVATE </w:t>
            </w:r>
          </w:p>
          <w:p w14:paraId="080B1348" w14:textId="2ADFD8FC" w:rsidR="00D952C4" w:rsidRPr="009F3ADA" w:rsidRDefault="00D952C4" w:rsidP="00D952C4">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Punct</w:t>
            </w:r>
            <w:r w:rsidR="00E54BC8" w:rsidRPr="009F3ADA">
              <w:rPr>
                <w:rFonts w:ascii="Times New Roman" w:eastAsia="Times New Roman" w:hAnsi="Times New Roman" w:cs="Times New Roman"/>
                <w:b/>
                <w:bCs/>
                <w:color w:val="333333"/>
                <w:sz w:val="24"/>
                <w:szCs w:val="24"/>
                <w:lang w:eastAsia="ro-MD"/>
              </w:rPr>
              <w:t>ele</w:t>
            </w:r>
            <w:r w:rsidRPr="009F3ADA">
              <w:rPr>
                <w:rFonts w:ascii="Times New Roman" w:eastAsia="Times New Roman" w:hAnsi="Times New Roman" w:cs="Times New Roman"/>
                <w:b/>
                <w:bCs/>
                <w:color w:val="333333"/>
                <w:sz w:val="24"/>
                <w:szCs w:val="24"/>
                <w:lang w:eastAsia="ro-MD"/>
              </w:rPr>
              <w:t xml:space="preserve"> 22</w:t>
            </w:r>
            <w:r w:rsidR="00E54BC8" w:rsidRPr="009F3ADA">
              <w:rPr>
                <w:rFonts w:ascii="Times New Roman" w:eastAsia="Times New Roman" w:hAnsi="Times New Roman" w:cs="Times New Roman"/>
                <w:b/>
                <w:bCs/>
                <w:color w:val="333333"/>
                <w:sz w:val="24"/>
                <w:szCs w:val="24"/>
                <w:lang w:eastAsia="ro-MD"/>
              </w:rPr>
              <w:t xml:space="preserve"> și 23</w:t>
            </w:r>
            <w:r w:rsidRPr="009F3ADA">
              <w:rPr>
                <w:rFonts w:ascii="Times New Roman" w:eastAsia="Times New Roman" w:hAnsi="Times New Roman" w:cs="Times New Roman"/>
                <w:b/>
                <w:bCs/>
                <w:color w:val="333333"/>
                <w:sz w:val="24"/>
                <w:szCs w:val="24"/>
                <w:lang w:eastAsia="ro-MD"/>
              </w:rPr>
              <w:t xml:space="preserve"> din Regulamentul </w:t>
            </w:r>
            <w:r w:rsidR="00E972F3" w:rsidRPr="009F3ADA">
              <w:rPr>
                <w:rFonts w:ascii="Times New Roman" w:eastAsia="Times New Roman" w:hAnsi="Times New Roman" w:cs="Times New Roman"/>
                <w:b/>
                <w:bCs/>
                <w:color w:val="333333"/>
                <w:sz w:val="24"/>
                <w:szCs w:val="24"/>
                <w:lang w:eastAsia="ro-MD"/>
              </w:rPr>
              <w:t xml:space="preserve">nr.220/2025 </w:t>
            </w:r>
            <w:r w:rsidRPr="009F3ADA">
              <w:rPr>
                <w:rFonts w:ascii="Times New Roman" w:eastAsia="Times New Roman" w:hAnsi="Times New Roman" w:cs="Times New Roman"/>
                <w:b/>
                <w:bCs/>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b/>
                <w:bCs/>
                <w:color w:val="333333"/>
                <w:sz w:val="24"/>
                <w:szCs w:val="24"/>
                <w:lang w:eastAsia="ro-MD"/>
              </w:rPr>
              <w:t>contrapărţii</w:t>
            </w:r>
            <w:proofErr w:type="spellEnd"/>
            <w:r w:rsidRPr="009F3ADA">
              <w:rPr>
                <w:rFonts w:ascii="Times New Roman" w:eastAsia="Times New Roman" w:hAnsi="Times New Roman" w:cs="Times New Roman"/>
                <w:b/>
                <w:bCs/>
                <w:color w:val="333333"/>
                <w:sz w:val="24"/>
                <w:szCs w:val="24"/>
                <w:lang w:eastAsia="ro-MD"/>
              </w:rPr>
              <w:t xml:space="preserve"> pentru bănci </w:t>
            </w:r>
          </w:p>
          <w:p w14:paraId="17DA2F63" w14:textId="4987BA66"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Se </w:t>
            </w:r>
            <w:r w:rsidR="00DD57E3" w:rsidRPr="009F3ADA">
              <w:rPr>
                <w:rFonts w:ascii="Times New Roman" w:eastAsia="Times New Roman" w:hAnsi="Times New Roman" w:cs="Times New Roman"/>
                <w:color w:val="333333"/>
                <w:sz w:val="24"/>
                <w:szCs w:val="24"/>
                <w:lang w:eastAsia="ro-MD"/>
              </w:rPr>
              <w:t xml:space="preserve">reflectă </w:t>
            </w:r>
            <w:r w:rsidRPr="009F3ADA">
              <w:rPr>
                <w:rFonts w:ascii="Times New Roman" w:eastAsia="Times New Roman" w:hAnsi="Times New Roman" w:cs="Times New Roman"/>
                <w:color w:val="333333"/>
                <w:sz w:val="24"/>
                <w:szCs w:val="24"/>
                <w:lang w:eastAsia="ro-MD"/>
              </w:rPr>
              <w:t xml:space="preserve">suma valorilor de </w:t>
            </w:r>
            <w:proofErr w:type="spellStart"/>
            <w:r w:rsidRPr="009F3ADA">
              <w:rPr>
                <w:rFonts w:ascii="Times New Roman" w:eastAsia="Times New Roman" w:hAnsi="Times New Roman" w:cs="Times New Roman"/>
                <w:color w:val="333333"/>
                <w:sz w:val="24"/>
                <w:szCs w:val="24"/>
                <w:lang w:eastAsia="ro-MD"/>
              </w:rPr>
              <w:t>piaţă</w:t>
            </w:r>
            <w:proofErr w:type="spellEnd"/>
            <w:r w:rsidRPr="009F3ADA">
              <w:rPr>
                <w:rFonts w:ascii="Times New Roman" w:eastAsia="Times New Roman" w:hAnsi="Times New Roman" w:cs="Times New Roman"/>
                <w:color w:val="333333"/>
                <w:sz w:val="24"/>
                <w:szCs w:val="24"/>
                <w:lang w:eastAsia="ro-MD"/>
              </w:rPr>
              <w:t xml:space="preserve"> absolute ale </w:t>
            </w:r>
            <w:proofErr w:type="spellStart"/>
            <w:r w:rsidRPr="009F3ADA">
              <w:rPr>
                <w:rFonts w:ascii="Times New Roman" w:eastAsia="Times New Roman" w:hAnsi="Times New Roman" w:cs="Times New Roman"/>
                <w:color w:val="333333"/>
                <w:sz w:val="24"/>
                <w:szCs w:val="24"/>
                <w:lang w:eastAsia="ro-MD"/>
              </w:rPr>
              <w:t>poziţiilor</w:t>
            </w:r>
            <w:proofErr w:type="spellEnd"/>
            <w:r w:rsidRPr="009F3ADA">
              <w:rPr>
                <w:rFonts w:ascii="Times New Roman" w:eastAsia="Times New Roman" w:hAnsi="Times New Roman" w:cs="Times New Roman"/>
                <w:color w:val="333333"/>
                <w:sz w:val="24"/>
                <w:szCs w:val="24"/>
                <w:lang w:eastAsia="ro-MD"/>
              </w:rPr>
              <w:t xml:space="preserve"> scurte pe instrumente financiare derivate din ultima zi a lunii.</w:t>
            </w:r>
          </w:p>
        </w:tc>
      </w:tr>
      <w:tr w:rsidR="00D952C4" w:rsidRPr="009F3ADA" w14:paraId="5F70B520" w14:textId="77777777" w:rsidTr="005B2081">
        <w:tc>
          <w:tcPr>
            <w:tcW w:w="0" w:type="auto"/>
            <w:tcBorders>
              <w:top w:val="outset" w:sz="6" w:space="0" w:color="auto"/>
              <w:left w:val="outset" w:sz="6" w:space="0" w:color="auto"/>
              <w:bottom w:val="outset" w:sz="6" w:space="0" w:color="auto"/>
              <w:right w:val="outset" w:sz="6" w:space="0" w:color="auto"/>
            </w:tcBorders>
            <w:shd w:val="clear" w:color="auto" w:fill="FFFFFF"/>
          </w:tcPr>
          <w:p w14:paraId="6D5F70D2" w14:textId="44565DB4"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hAnsi="Times New Roman" w:cs="Times New Roman"/>
                <w:sz w:val="24"/>
                <w:szCs w:val="24"/>
              </w:rPr>
              <w:t>0030,0060, 0090</w:t>
            </w:r>
          </w:p>
        </w:tc>
        <w:tc>
          <w:tcPr>
            <w:tcW w:w="7783" w:type="dxa"/>
            <w:tcBorders>
              <w:top w:val="outset" w:sz="6" w:space="0" w:color="auto"/>
              <w:left w:val="outset" w:sz="6" w:space="0" w:color="auto"/>
              <w:bottom w:val="outset" w:sz="6" w:space="0" w:color="auto"/>
              <w:right w:val="outset" w:sz="6" w:space="0" w:color="auto"/>
            </w:tcBorders>
            <w:shd w:val="clear" w:color="auto" w:fill="FFFFFF"/>
          </w:tcPr>
          <w:p w14:paraId="54963381" w14:textId="77777777" w:rsidR="00D952C4" w:rsidRPr="009F3ADA" w:rsidRDefault="00D952C4" w:rsidP="00D952C4">
            <w:pPr>
              <w:spacing w:after="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b/>
                <w:bCs/>
                <w:color w:val="333333"/>
                <w:sz w:val="24"/>
                <w:szCs w:val="24"/>
                <w:lang w:eastAsia="ro-MD"/>
              </w:rPr>
              <w:t xml:space="preserve">TOTAL </w:t>
            </w:r>
          </w:p>
          <w:p w14:paraId="4145331E" w14:textId="21F16C9E"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Punctul 22 subpunctul 22.2 din Regulamentul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 </w:t>
            </w:r>
          </w:p>
          <w:p w14:paraId="017819E2" w14:textId="2AD93FB1" w:rsidR="00D952C4" w:rsidRPr="009F3ADA" w:rsidRDefault="00D952C4" w:rsidP="00D952C4">
            <w:pPr>
              <w:spacing w:after="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Suma dintre valoarea absolută a </w:t>
            </w:r>
            <w:proofErr w:type="spellStart"/>
            <w:r w:rsidRPr="009F3ADA">
              <w:rPr>
                <w:rFonts w:ascii="Times New Roman" w:eastAsia="Times New Roman" w:hAnsi="Times New Roman" w:cs="Times New Roman"/>
                <w:color w:val="333333"/>
                <w:sz w:val="24"/>
                <w:szCs w:val="24"/>
                <w:lang w:eastAsia="ro-MD"/>
              </w:rPr>
              <w:t>poziţiilor</w:t>
            </w:r>
            <w:proofErr w:type="spellEnd"/>
            <w:r w:rsidRPr="009F3ADA">
              <w:rPr>
                <w:rFonts w:ascii="Times New Roman" w:eastAsia="Times New Roman" w:hAnsi="Times New Roman" w:cs="Times New Roman"/>
                <w:color w:val="333333"/>
                <w:sz w:val="24"/>
                <w:szCs w:val="24"/>
                <w:lang w:eastAsia="ro-MD"/>
              </w:rPr>
              <w:t xml:space="preserve"> lungi pe instrumente financiare derivate și valoarea absolută a </w:t>
            </w:r>
            <w:proofErr w:type="spellStart"/>
            <w:r w:rsidRPr="009F3ADA">
              <w:rPr>
                <w:rFonts w:ascii="Times New Roman" w:eastAsia="Times New Roman" w:hAnsi="Times New Roman" w:cs="Times New Roman"/>
                <w:color w:val="333333"/>
                <w:sz w:val="24"/>
                <w:szCs w:val="24"/>
                <w:lang w:eastAsia="ro-MD"/>
              </w:rPr>
              <w:t>poziţiilor</w:t>
            </w:r>
            <w:proofErr w:type="spellEnd"/>
            <w:r w:rsidRPr="009F3ADA">
              <w:rPr>
                <w:rFonts w:ascii="Times New Roman" w:eastAsia="Times New Roman" w:hAnsi="Times New Roman" w:cs="Times New Roman"/>
                <w:color w:val="333333"/>
                <w:sz w:val="24"/>
                <w:szCs w:val="24"/>
                <w:lang w:eastAsia="ro-MD"/>
              </w:rPr>
              <w:t xml:space="preserve"> scurte pe instrumente financiare derivate.</w:t>
            </w:r>
          </w:p>
        </w:tc>
      </w:tr>
    </w:tbl>
    <w:p w14:paraId="06425A18" w14:textId="77777777" w:rsidR="0022503B" w:rsidRPr="009F3ADA" w:rsidRDefault="0022503B">
      <w:pPr>
        <w:rPr>
          <w:rFonts w:ascii="Times New Roman" w:hAnsi="Times New Roman" w:cs="Times New Roman"/>
          <w:sz w:val="24"/>
          <w:szCs w:val="24"/>
        </w:rPr>
      </w:pPr>
    </w:p>
    <w:tbl>
      <w:tblPr>
        <w:tblStyle w:val="TableGrid"/>
        <w:tblW w:w="8926" w:type="dxa"/>
        <w:tblLook w:val="04A0" w:firstRow="1" w:lastRow="0" w:firstColumn="1" w:lastColumn="0" w:noHBand="0" w:noVBand="1"/>
      </w:tblPr>
      <w:tblGrid>
        <w:gridCol w:w="1129"/>
        <w:gridCol w:w="7797"/>
      </w:tblGrid>
      <w:tr w:rsidR="00D952C4" w:rsidRPr="009F3ADA" w14:paraId="0AA4BA5F" w14:textId="77777777" w:rsidTr="00183D3A">
        <w:tc>
          <w:tcPr>
            <w:tcW w:w="8926" w:type="dxa"/>
            <w:gridSpan w:val="2"/>
          </w:tcPr>
          <w:p w14:paraId="0FE8A81C" w14:textId="09B5420D" w:rsidR="00D952C4" w:rsidRPr="009F3ADA" w:rsidRDefault="00D952C4">
            <w:pPr>
              <w:rPr>
                <w:rFonts w:ascii="Times New Roman" w:hAnsi="Times New Roman" w:cs="Times New Roman"/>
                <w:b/>
                <w:bCs/>
                <w:sz w:val="24"/>
                <w:szCs w:val="24"/>
              </w:rPr>
            </w:pPr>
            <w:r w:rsidRPr="009F3ADA">
              <w:rPr>
                <w:rFonts w:ascii="Times New Roman" w:hAnsi="Times New Roman" w:cs="Times New Roman"/>
                <w:b/>
                <w:bCs/>
                <w:sz w:val="24"/>
                <w:szCs w:val="24"/>
              </w:rPr>
              <w:t>Rânduri</w:t>
            </w:r>
          </w:p>
        </w:tc>
      </w:tr>
      <w:tr w:rsidR="00D952C4" w:rsidRPr="009F3ADA" w14:paraId="772D70BB" w14:textId="77777777" w:rsidTr="005B2081">
        <w:tc>
          <w:tcPr>
            <w:tcW w:w="1129" w:type="dxa"/>
          </w:tcPr>
          <w:p w14:paraId="2CF7D4CC" w14:textId="77777777" w:rsidR="00D952C4" w:rsidRPr="009F3ADA" w:rsidRDefault="00D952C4" w:rsidP="00D952C4">
            <w:pPr>
              <w:jc w:val="center"/>
              <w:rPr>
                <w:rFonts w:ascii="Times New Roman" w:hAnsi="Times New Roman" w:cs="Times New Roman"/>
                <w:sz w:val="24"/>
                <w:szCs w:val="24"/>
              </w:rPr>
            </w:pPr>
          </w:p>
          <w:p w14:paraId="4431F007" w14:textId="3AAB6529" w:rsidR="00D952C4" w:rsidRPr="009F3ADA" w:rsidRDefault="00D952C4" w:rsidP="00D952C4">
            <w:pPr>
              <w:jc w:val="center"/>
              <w:rPr>
                <w:rFonts w:ascii="Times New Roman" w:hAnsi="Times New Roman" w:cs="Times New Roman"/>
                <w:sz w:val="24"/>
                <w:szCs w:val="24"/>
              </w:rPr>
            </w:pPr>
            <w:r w:rsidRPr="009F3ADA">
              <w:rPr>
                <w:rFonts w:ascii="Times New Roman" w:hAnsi="Times New Roman" w:cs="Times New Roman"/>
                <w:sz w:val="24"/>
                <w:szCs w:val="24"/>
              </w:rPr>
              <w:t>0010</w:t>
            </w:r>
          </w:p>
        </w:tc>
        <w:tc>
          <w:tcPr>
            <w:tcW w:w="7797" w:type="dxa"/>
          </w:tcPr>
          <w:p w14:paraId="5C54A192" w14:textId="77777777"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b/>
                <w:bCs/>
                <w:sz w:val="24"/>
                <w:szCs w:val="24"/>
              </w:rPr>
              <w:t xml:space="preserve">Volumul </w:t>
            </w:r>
            <w:proofErr w:type="spellStart"/>
            <w:r w:rsidRPr="009F3ADA">
              <w:rPr>
                <w:rFonts w:ascii="Times New Roman" w:hAnsi="Times New Roman" w:cs="Times New Roman"/>
                <w:b/>
                <w:bCs/>
                <w:sz w:val="24"/>
                <w:szCs w:val="24"/>
              </w:rPr>
              <w:t>operaţiunilor</w:t>
            </w:r>
            <w:proofErr w:type="spellEnd"/>
            <w:r w:rsidRPr="009F3ADA">
              <w:rPr>
                <w:rFonts w:ascii="Times New Roman" w:hAnsi="Times New Roman" w:cs="Times New Roman"/>
                <w:b/>
                <w:bCs/>
                <w:sz w:val="24"/>
                <w:szCs w:val="24"/>
              </w:rPr>
              <w:t xml:space="preserve"> cu instrumente financiare derivate</w:t>
            </w:r>
            <w:r w:rsidRPr="009F3ADA">
              <w:rPr>
                <w:rFonts w:ascii="Times New Roman" w:hAnsi="Times New Roman" w:cs="Times New Roman"/>
                <w:sz w:val="24"/>
                <w:szCs w:val="24"/>
              </w:rPr>
              <w:t xml:space="preserve"> </w:t>
            </w:r>
          </w:p>
          <w:p w14:paraId="35C7496A" w14:textId="476E888B" w:rsidR="00D952C4" w:rsidRPr="009F3ADA" w:rsidRDefault="002B71C7" w:rsidP="00D952C4">
            <w:pPr>
              <w:rPr>
                <w:rFonts w:ascii="Times New Roman" w:hAnsi="Times New Roman" w:cs="Times New Roman"/>
                <w:sz w:val="24"/>
                <w:szCs w:val="24"/>
              </w:rPr>
            </w:pPr>
            <w:r w:rsidRPr="009F3ADA">
              <w:rPr>
                <w:rFonts w:ascii="Times New Roman" w:eastAsia="Times New Roman" w:hAnsi="Times New Roman" w:cs="Times New Roman"/>
                <w:color w:val="333333"/>
                <w:sz w:val="24"/>
                <w:szCs w:val="24"/>
                <w:lang w:eastAsia="ro-MD"/>
              </w:rPr>
              <w:t>Punctele 22 și 23</w:t>
            </w:r>
            <w:r w:rsidRPr="009F3ADA">
              <w:rPr>
                <w:rFonts w:ascii="Times New Roman" w:eastAsia="Times New Roman" w:hAnsi="Times New Roman" w:cs="Times New Roman"/>
                <w:b/>
                <w:bCs/>
                <w:color w:val="333333"/>
                <w:sz w:val="24"/>
                <w:szCs w:val="24"/>
                <w:lang w:eastAsia="ro-MD"/>
              </w:rPr>
              <w:t xml:space="preserve"> </w:t>
            </w:r>
            <w:r w:rsidR="00D952C4" w:rsidRPr="009F3ADA">
              <w:rPr>
                <w:rFonts w:ascii="Times New Roman" w:hAnsi="Times New Roman" w:cs="Times New Roman"/>
                <w:sz w:val="24"/>
                <w:szCs w:val="24"/>
              </w:rPr>
              <w:t xml:space="preserve">din Regulamentul </w:t>
            </w:r>
            <w:r w:rsidR="00E972F3" w:rsidRPr="009F3ADA">
              <w:rPr>
                <w:rFonts w:ascii="Times New Roman" w:hAnsi="Times New Roman" w:cs="Times New Roman"/>
                <w:sz w:val="24"/>
                <w:szCs w:val="24"/>
              </w:rPr>
              <w:t xml:space="preserve">nr.220/2025 </w:t>
            </w:r>
            <w:r w:rsidR="00D952C4" w:rsidRPr="009F3ADA">
              <w:rPr>
                <w:rFonts w:ascii="Times New Roman" w:hAnsi="Times New Roman" w:cs="Times New Roman"/>
                <w:sz w:val="24"/>
                <w:szCs w:val="24"/>
              </w:rPr>
              <w:t xml:space="preserve">cu privire la tratamentul riscului de credit al </w:t>
            </w:r>
            <w:proofErr w:type="spellStart"/>
            <w:r w:rsidR="00D952C4" w:rsidRPr="009F3ADA">
              <w:rPr>
                <w:rFonts w:ascii="Times New Roman" w:hAnsi="Times New Roman" w:cs="Times New Roman"/>
                <w:sz w:val="24"/>
                <w:szCs w:val="24"/>
              </w:rPr>
              <w:t>contrapărţii</w:t>
            </w:r>
            <w:proofErr w:type="spellEnd"/>
            <w:r w:rsidR="00D952C4" w:rsidRPr="009F3ADA">
              <w:rPr>
                <w:rFonts w:ascii="Times New Roman" w:hAnsi="Times New Roman" w:cs="Times New Roman"/>
                <w:sz w:val="24"/>
                <w:szCs w:val="24"/>
              </w:rPr>
              <w:t xml:space="preserve"> pentru bănci </w:t>
            </w:r>
          </w:p>
          <w:p w14:paraId="4AD20C44" w14:textId="39582626"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sz w:val="24"/>
                <w:szCs w:val="24"/>
              </w:rPr>
              <w:t xml:space="preserve">Se includ toate instrumentele financiare derivate </w:t>
            </w:r>
            <w:proofErr w:type="spellStart"/>
            <w:r w:rsidRPr="009F3ADA">
              <w:rPr>
                <w:rFonts w:ascii="Times New Roman" w:hAnsi="Times New Roman" w:cs="Times New Roman"/>
                <w:sz w:val="24"/>
                <w:szCs w:val="24"/>
              </w:rPr>
              <w:t>bilanţiere</w:t>
            </w:r>
            <w:proofErr w:type="spellEnd"/>
            <w:r w:rsidRPr="009F3ADA">
              <w:rPr>
                <w:rFonts w:ascii="Times New Roman" w:hAnsi="Times New Roman" w:cs="Times New Roman"/>
                <w:sz w:val="24"/>
                <w:szCs w:val="24"/>
              </w:rPr>
              <w:t xml:space="preserve"> și </w:t>
            </w:r>
            <w:proofErr w:type="spellStart"/>
            <w:r w:rsidRPr="009F3ADA">
              <w:rPr>
                <w:rFonts w:ascii="Times New Roman" w:hAnsi="Times New Roman" w:cs="Times New Roman"/>
                <w:sz w:val="24"/>
                <w:szCs w:val="24"/>
              </w:rPr>
              <w:t>extrabilanţiere</w:t>
            </w:r>
            <w:proofErr w:type="spellEnd"/>
            <w:r w:rsidRPr="009F3ADA">
              <w:rPr>
                <w:rFonts w:ascii="Times New Roman" w:hAnsi="Times New Roman" w:cs="Times New Roman"/>
                <w:sz w:val="24"/>
                <w:szCs w:val="24"/>
              </w:rPr>
              <w:t xml:space="preserve">, cu </w:t>
            </w:r>
            <w:proofErr w:type="spellStart"/>
            <w:r w:rsidRPr="009F3ADA">
              <w:rPr>
                <w:rFonts w:ascii="Times New Roman" w:hAnsi="Times New Roman" w:cs="Times New Roman"/>
                <w:sz w:val="24"/>
                <w:szCs w:val="24"/>
              </w:rPr>
              <w:t>excepţia</w:t>
            </w:r>
            <w:proofErr w:type="spellEnd"/>
            <w:r w:rsidRPr="009F3ADA">
              <w:rPr>
                <w:rFonts w:ascii="Times New Roman" w:hAnsi="Times New Roman" w:cs="Times New Roman"/>
                <w:sz w:val="24"/>
                <w:szCs w:val="24"/>
              </w:rPr>
              <w:t xml:space="preserve"> instrumentelor financiare derivate de credit care sunt recunoscute ca acoperiri interne împotriva expunerilor la riscul de credit din afara portofoliului de </w:t>
            </w:r>
            <w:proofErr w:type="spellStart"/>
            <w:r w:rsidRPr="009F3ADA">
              <w:rPr>
                <w:rFonts w:ascii="Times New Roman" w:hAnsi="Times New Roman" w:cs="Times New Roman"/>
                <w:sz w:val="24"/>
                <w:szCs w:val="24"/>
              </w:rPr>
              <w:t>tranzacţionare</w:t>
            </w:r>
            <w:proofErr w:type="spellEnd"/>
            <w:r w:rsidRPr="009F3ADA">
              <w:rPr>
                <w:rFonts w:ascii="Times New Roman" w:hAnsi="Times New Roman" w:cs="Times New Roman"/>
                <w:sz w:val="24"/>
                <w:szCs w:val="24"/>
              </w:rPr>
              <w:t>.</w:t>
            </w:r>
          </w:p>
        </w:tc>
      </w:tr>
      <w:tr w:rsidR="00D952C4" w:rsidRPr="009F3ADA" w14:paraId="4B7BD5C3" w14:textId="77777777" w:rsidTr="005B2081">
        <w:tc>
          <w:tcPr>
            <w:tcW w:w="1129" w:type="dxa"/>
          </w:tcPr>
          <w:p w14:paraId="6C8E794B" w14:textId="66639EA2" w:rsidR="00D952C4" w:rsidRPr="009F3ADA" w:rsidRDefault="00D952C4" w:rsidP="00D952C4">
            <w:pPr>
              <w:jc w:val="center"/>
              <w:rPr>
                <w:rFonts w:ascii="Times New Roman" w:hAnsi="Times New Roman" w:cs="Times New Roman"/>
                <w:sz w:val="24"/>
                <w:szCs w:val="24"/>
              </w:rPr>
            </w:pPr>
            <w:r w:rsidRPr="009F3ADA">
              <w:rPr>
                <w:rFonts w:ascii="Times New Roman" w:hAnsi="Times New Roman" w:cs="Times New Roman"/>
                <w:sz w:val="24"/>
                <w:szCs w:val="24"/>
              </w:rPr>
              <w:t>0020</w:t>
            </w:r>
          </w:p>
        </w:tc>
        <w:tc>
          <w:tcPr>
            <w:tcW w:w="7797" w:type="dxa"/>
          </w:tcPr>
          <w:p w14:paraId="266D65E6" w14:textId="77777777"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b/>
                <w:bCs/>
                <w:sz w:val="24"/>
                <w:szCs w:val="24"/>
              </w:rPr>
              <w:t xml:space="preserve">Instrumente financiare derivate </w:t>
            </w:r>
            <w:proofErr w:type="spellStart"/>
            <w:r w:rsidRPr="009F3ADA">
              <w:rPr>
                <w:rFonts w:ascii="Times New Roman" w:hAnsi="Times New Roman" w:cs="Times New Roman"/>
                <w:b/>
                <w:bCs/>
                <w:sz w:val="24"/>
                <w:szCs w:val="24"/>
              </w:rPr>
              <w:t>bilanţiere</w:t>
            </w:r>
            <w:proofErr w:type="spellEnd"/>
            <w:r w:rsidRPr="009F3ADA">
              <w:rPr>
                <w:rFonts w:ascii="Times New Roman" w:hAnsi="Times New Roman" w:cs="Times New Roman"/>
                <w:b/>
                <w:bCs/>
                <w:sz w:val="24"/>
                <w:szCs w:val="24"/>
              </w:rPr>
              <w:t xml:space="preserve"> și </w:t>
            </w:r>
            <w:proofErr w:type="spellStart"/>
            <w:r w:rsidRPr="009F3ADA">
              <w:rPr>
                <w:rFonts w:ascii="Times New Roman" w:hAnsi="Times New Roman" w:cs="Times New Roman"/>
                <w:b/>
                <w:bCs/>
                <w:sz w:val="24"/>
                <w:szCs w:val="24"/>
              </w:rPr>
              <w:t>extrabilanţiere</w:t>
            </w:r>
            <w:proofErr w:type="spellEnd"/>
            <w:r w:rsidRPr="009F3ADA">
              <w:rPr>
                <w:rFonts w:ascii="Times New Roman" w:hAnsi="Times New Roman" w:cs="Times New Roman"/>
                <w:sz w:val="24"/>
                <w:szCs w:val="24"/>
              </w:rPr>
              <w:t xml:space="preserve"> </w:t>
            </w:r>
          </w:p>
          <w:p w14:paraId="5F413115" w14:textId="5AFA3D16"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Punctul 22 subpunctele 22.1 și 22.2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 </w:t>
            </w:r>
          </w:p>
          <w:p w14:paraId="30D02796" w14:textId="22174D72"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Se </w:t>
            </w:r>
            <w:r w:rsidR="00DD57E3" w:rsidRPr="009F3ADA">
              <w:rPr>
                <w:rFonts w:ascii="Times New Roman" w:hAnsi="Times New Roman" w:cs="Times New Roman"/>
                <w:sz w:val="24"/>
                <w:szCs w:val="24"/>
              </w:rPr>
              <w:t xml:space="preserve">reflectă </w:t>
            </w:r>
            <w:r w:rsidRPr="009F3ADA">
              <w:rPr>
                <w:rFonts w:ascii="Times New Roman" w:hAnsi="Times New Roman" w:cs="Times New Roman"/>
                <w:sz w:val="24"/>
                <w:szCs w:val="24"/>
              </w:rPr>
              <w:t xml:space="preserve">valoarea de </w:t>
            </w:r>
            <w:proofErr w:type="spellStart"/>
            <w:r w:rsidRPr="009F3ADA">
              <w:rPr>
                <w:rFonts w:ascii="Times New Roman" w:hAnsi="Times New Roman" w:cs="Times New Roman"/>
                <w:sz w:val="24"/>
                <w:szCs w:val="24"/>
              </w:rPr>
              <w:t>piaţă</w:t>
            </w:r>
            <w:proofErr w:type="spellEnd"/>
            <w:r w:rsidRPr="009F3ADA">
              <w:rPr>
                <w:rFonts w:ascii="Times New Roman" w:hAnsi="Times New Roman" w:cs="Times New Roman"/>
                <w:sz w:val="24"/>
                <w:szCs w:val="24"/>
              </w:rPr>
              <w:t xml:space="preserve"> totală a </w:t>
            </w:r>
            <w:proofErr w:type="spellStart"/>
            <w:r w:rsidRPr="009F3ADA">
              <w:rPr>
                <w:rFonts w:ascii="Times New Roman" w:hAnsi="Times New Roman" w:cs="Times New Roman"/>
                <w:sz w:val="24"/>
                <w:szCs w:val="24"/>
              </w:rPr>
              <w:t>poziţiilor</w:t>
            </w:r>
            <w:proofErr w:type="spellEnd"/>
            <w:r w:rsidRPr="009F3ADA">
              <w:rPr>
                <w:rFonts w:ascii="Times New Roman" w:hAnsi="Times New Roman" w:cs="Times New Roman"/>
                <w:sz w:val="24"/>
                <w:szCs w:val="24"/>
              </w:rPr>
              <w:t xml:space="preserve"> pe instrumente financiare derivate </w:t>
            </w:r>
            <w:proofErr w:type="spellStart"/>
            <w:r w:rsidRPr="009F3ADA">
              <w:rPr>
                <w:rFonts w:ascii="Times New Roman" w:hAnsi="Times New Roman" w:cs="Times New Roman"/>
                <w:sz w:val="24"/>
                <w:szCs w:val="24"/>
              </w:rPr>
              <w:t>bilanţiere</w:t>
            </w:r>
            <w:proofErr w:type="spellEnd"/>
            <w:r w:rsidRPr="009F3ADA">
              <w:rPr>
                <w:rFonts w:ascii="Times New Roman" w:hAnsi="Times New Roman" w:cs="Times New Roman"/>
                <w:sz w:val="24"/>
                <w:szCs w:val="24"/>
              </w:rPr>
              <w:t xml:space="preserve"> și </w:t>
            </w:r>
            <w:proofErr w:type="spellStart"/>
            <w:r w:rsidRPr="009F3ADA">
              <w:rPr>
                <w:rFonts w:ascii="Times New Roman" w:hAnsi="Times New Roman" w:cs="Times New Roman"/>
                <w:sz w:val="24"/>
                <w:szCs w:val="24"/>
              </w:rPr>
              <w:t>extrabilanţiere</w:t>
            </w:r>
            <w:proofErr w:type="spellEnd"/>
            <w:r w:rsidRPr="009F3ADA">
              <w:rPr>
                <w:rFonts w:ascii="Times New Roman" w:hAnsi="Times New Roman" w:cs="Times New Roman"/>
                <w:sz w:val="24"/>
                <w:szCs w:val="24"/>
              </w:rPr>
              <w:t xml:space="preserve"> din ultima zi a lunii. În cazul în care valoarea de </w:t>
            </w:r>
            <w:proofErr w:type="spellStart"/>
            <w:r w:rsidRPr="009F3ADA">
              <w:rPr>
                <w:rFonts w:ascii="Times New Roman" w:hAnsi="Times New Roman" w:cs="Times New Roman"/>
                <w:sz w:val="24"/>
                <w:szCs w:val="24"/>
              </w:rPr>
              <w:t>piaţă</w:t>
            </w:r>
            <w:proofErr w:type="spellEnd"/>
            <w:r w:rsidRPr="009F3ADA">
              <w:rPr>
                <w:rFonts w:ascii="Times New Roman" w:hAnsi="Times New Roman" w:cs="Times New Roman"/>
                <w:sz w:val="24"/>
                <w:szCs w:val="24"/>
              </w:rPr>
              <w:t xml:space="preserve"> a unei </w:t>
            </w:r>
            <w:proofErr w:type="spellStart"/>
            <w:r w:rsidRPr="009F3ADA">
              <w:rPr>
                <w:rFonts w:ascii="Times New Roman" w:hAnsi="Times New Roman" w:cs="Times New Roman"/>
                <w:sz w:val="24"/>
                <w:szCs w:val="24"/>
              </w:rPr>
              <w:t>poziţii</w:t>
            </w:r>
            <w:proofErr w:type="spellEnd"/>
            <w:r w:rsidRPr="009F3ADA">
              <w:rPr>
                <w:rFonts w:ascii="Times New Roman" w:hAnsi="Times New Roman" w:cs="Times New Roman"/>
                <w:sz w:val="24"/>
                <w:szCs w:val="24"/>
              </w:rPr>
              <w:t xml:space="preserve"> nu este disponibilă la data respectivă, băncile utilizează o valoare justă a </w:t>
            </w:r>
            <w:proofErr w:type="spellStart"/>
            <w:r w:rsidRPr="009F3ADA">
              <w:rPr>
                <w:rFonts w:ascii="Times New Roman" w:hAnsi="Times New Roman" w:cs="Times New Roman"/>
                <w:sz w:val="24"/>
                <w:szCs w:val="24"/>
              </w:rPr>
              <w:t>poziţiei</w:t>
            </w:r>
            <w:proofErr w:type="spellEnd"/>
            <w:r w:rsidRPr="009F3ADA">
              <w:rPr>
                <w:rFonts w:ascii="Times New Roman" w:hAnsi="Times New Roman" w:cs="Times New Roman"/>
                <w:sz w:val="24"/>
                <w:szCs w:val="24"/>
              </w:rPr>
              <w:t xml:space="preserve"> la data respectivă; în cazul în care valoarea de </w:t>
            </w:r>
            <w:proofErr w:type="spellStart"/>
            <w:r w:rsidRPr="009F3ADA">
              <w:rPr>
                <w:rFonts w:ascii="Times New Roman" w:hAnsi="Times New Roman" w:cs="Times New Roman"/>
                <w:sz w:val="24"/>
                <w:szCs w:val="24"/>
              </w:rPr>
              <w:t>piaţă</w:t>
            </w:r>
            <w:proofErr w:type="spellEnd"/>
            <w:r w:rsidRPr="009F3ADA">
              <w:rPr>
                <w:rFonts w:ascii="Times New Roman" w:hAnsi="Times New Roman" w:cs="Times New Roman"/>
                <w:sz w:val="24"/>
                <w:szCs w:val="24"/>
              </w:rPr>
              <w:t xml:space="preserve"> și valoarea justă ale unei </w:t>
            </w:r>
            <w:proofErr w:type="spellStart"/>
            <w:r w:rsidRPr="009F3ADA">
              <w:rPr>
                <w:rFonts w:ascii="Times New Roman" w:hAnsi="Times New Roman" w:cs="Times New Roman"/>
                <w:sz w:val="24"/>
                <w:szCs w:val="24"/>
              </w:rPr>
              <w:t>poziţii</w:t>
            </w:r>
            <w:proofErr w:type="spellEnd"/>
            <w:r w:rsidRPr="009F3ADA">
              <w:rPr>
                <w:rFonts w:ascii="Times New Roman" w:hAnsi="Times New Roman" w:cs="Times New Roman"/>
                <w:sz w:val="24"/>
                <w:szCs w:val="24"/>
              </w:rPr>
              <w:t xml:space="preserve"> nu sunt disponibile la data respectivă, </w:t>
            </w:r>
            <w:r w:rsidRPr="009F3ADA">
              <w:rPr>
                <w:rFonts w:ascii="Times New Roman" w:hAnsi="Times New Roman" w:cs="Times New Roman"/>
                <w:sz w:val="24"/>
                <w:szCs w:val="24"/>
              </w:rPr>
              <w:lastRenderedPageBreak/>
              <w:t xml:space="preserve">băncile trebuie să ia valoarea cea mai recentă dintre valoarea de </w:t>
            </w:r>
            <w:proofErr w:type="spellStart"/>
            <w:r w:rsidRPr="009F3ADA">
              <w:rPr>
                <w:rFonts w:ascii="Times New Roman" w:hAnsi="Times New Roman" w:cs="Times New Roman"/>
                <w:sz w:val="24"/>
                <w:szCs w:val="24"/>
              </w:rPr>
              <w:t>piaţă</w:t>
            </w:r>
            <w:proofErr w:type="spellEnd"/>
            <w:r w:rsidRPr="009F3ADA">
              <w:rPr>
                <w:rFonts w:ascii="Times New Roman" w:hAnsi="Times New Roman" w:cs="Times New Roman"/>
                <w:sz w:val="24"/>
                <w:szCs w:val="24"/>
              </w:rPr>
              <w:t xml:space="preserve"> și valoarea justă pentru </w:t>
            </w:r>
            <w:proofErr w:type="spellStart"/>
            <w:r w:rsidRPr="009F3ADA">
              <w:rPr>
                <w:rFonts w:ascii="Times New Roman" w:hAnsi="Times New Roman" w:cs="Times New Roman"/>
                <w:sz w:val="24"/>
                <w:szCs w:val="24"/>
              </w:rPr>
              <w:t>poziţia</w:t>
            </w:r>
            <w:proofErr w:type="spellEnd"/>
            <w:r w:rsidRPr="009F3ADA">
              <w:rPr>
                <w:rFonts w:ascii="Times New Roman" w:hAnsi="Times New Roman" w:cs="Times New Roman"/>
                <w:sz w:val="24"/>
                <w:szCs w:val="24"/>
              </w:rPr>
              <w:t xml:space="preserve"> respectivă.</w:t>
            </w:r>
          </w:p>
        </w:tc>
      </w:tr>
      <w:tr w:rsidR="00D952C4" w:rsidRPr="009F3ADA" w14:paraId="4CF014E4" w14:textId="77777777" w:rsidTr="005B2081">
        <w:tc>
          <w:tcPr>
            <w:tcW w:w="1129" w:type="dxa"/>
          </w:tcPr>
          <w:p w14:paraId="68C47639" w14:textId="5E2ED9C2" w:rsidR="00D952C4" w:rsidRPr="009F3ADA" w:rsidRDefault="00D952C4" w:rsidP="00D952C4">
            <w:pPr>
              <w:jc w:val="center"/>
              <w:rPr>
                <w:rFonts w:ascii="Times New Roman" w:hAnsi="Times New Roman" w:cs="Times New Roman"/>
                <w:sz w:val="24"/>
                <w:szCs w:val="24"/>
              </w:rPr>
            </w:pPr>
            <w:r w:rsidRPr="009F3ADA">
              <w:rPr>
                <w:rFonts w:ascii="Times New Roman" w:hAnsi="Times New Roman" w:cs="Times New Roman"/>
                <w:sz w:val="24"/>
                <w:szCs w:val="24"/>
              </w:rPr>
              <w:lastRenderedPageBreak/>
              <w:t>0030</w:t>
            </w:r>
          </w:p>
        </w:tc>
        <w:tc>
          <w:tcPr>
            <w:tcW w:w="7797" w:type="dxa"/>
          </w:tcPr>
          <w:p w14:paraId="3BF9F8B9" w14:textId="77777777"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b/>
                <w:bCs/>
                <w:sz w:val="24"/>
                <w:szCs w:val="24"/>
              </w:rPr>
              <w:t xml:space="preserve">(-) Instrumente financiare derivate de credit care sunt recunoscute ca acoperiri interne împotriva expunerilor la riscul de credit din afara portofoliului de </w:t>
            </w:r>
            <w:proofErr w:type="spellStart"/>
            <w:r w:rsidRPr="009F3ADA">
              <w:rPr>
                <w:rFonts w:ascii="Times New Roman" w:hAnsi="Times New Roman" w:cs="Times New Roman"/>
                <w:b/>
                <w:bCs/>
                <w:sz w:val="24"/>
                <w:szCs w:val="24"/>
              </w:rPr>
              <w:t>tranzacţionare</w:t>
            </w:r>
            <w:proofErr w:type="spellEnd"/>
            <w:r w:rsidRPr="009F3ADA">
              <w:rPr>
                <w:rFonts w:ascii="Times New Roman" w:hAnsi="Times New Roman" w:cs="Times New Roman"/>
                <w:b/>
                <w:bCs/>
                <w:sz w:val="24"/>
                <w:szCs w:val="24"/>
              </w:rPr>
              <w:t xml:space="preserve"> </w:t>
            </w:r>
          </w:p>
          <w:p w14:paraId="2EA62ADF" w14:textId="060B130E" w:rsidR="00D952C4" w:rsidRPr="009F3ADA" w:rsidRDefault="00D952C4" w:rsidP="00D952C4">
            <w:pPr>
              <w:spacing w:before="60" w:after="60" w:line="312" w:lineRule="atLeast"/>
              <w:jc w:val="both"/>
              <w:rPr>
                <w:rFonts w:ascii="Times New Roman" w:eastAsia="Times New Roman" w:hAnsi="Times New Roman" w:cs="Times New Roman"/>
                <w:color w:val="333333"/>
                <w:sz w:val="24"/>
                <w:szCs w:val="24"/>
                <w:lang w:eastAsia="ro-MD"/>
              </w:rPr>
            </w:pPr>
            <w:r w:rsidRPr="009F3ADA">
              <w:rPr>
                <w:rFonts w:ascii="Times New Roman" w:eastAsia="Times New Roman" w:hAnsi="Times New Roman" w:cs="Times New Roman"/>
                <w:color w:val="333333"/>
                <w:sz w:val="24"/>
                <w:szCs w:val="24"/>
                <w:lang w:eastAsia="ro-MD"/>
              </w:rPr>
              <w:t xml:space="preserve">Punctul 22 subpunctul 22.3 din Regulamentul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 </w:t>
            </w:r>
          </w:p>
          <w:p w14:paraId="53F8677C" w14:textId="6CFC85CE"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Valoarea de </w:t>
            </w:r>
            <w:proofErr w:type="spellStart"/>
            <w:r w:rsidRPr="009F3ADA">
              <w:rPr>
                <w:rFonts w:ascii="Times New Roman" w:hAnsi="Times New Roman" w:cs="Times New Roman"/>
                <w:sz w:val="24"/>
                <w:szCs w:val="24"/>
              </w:rPr>
              <w:t>piaţă</w:t>
            </w:r>
            <w:proofErr w:type="spellEnd"/>
            <w:r w:rsidRPr="009F3ADA">
              <w:rPr>
                <w:rFonts w:ascii="Times New Roman" w:hAnsi="Times New Roman" w:cs="Times New Roman"/>
                <w:sz w:val="24"/>
                <w:szCs w:val="24"/>
              </w:rPr>
              <w:t xml:space="preserve"> totală a instrumentelor financiare derivate de credit care sunt recunoscute ca acoperiri interne împotriva expunerilor la riscul de credit din afara portofoliului de </w:t>
            </w:r>
            <w:proofErr w:type="spellStart"/>
            <w:r w:rsidRPr="009F3ADA">
              <w:rPr>
                <w:rFonts w:ascii="Times New Roman" w:hAnsi="Times New Roman" w:cs="Times New Roman"/>
                <w:sz w:val="24"/>
                <w:szCs w:val="24"/>
              </w:rPr>
              <w:t>tranzacţionare</w:t>
            </w:r>
            <w:proofErr w:type="spellEnd"/>
            <w:r w:rsidRPr="009F3ADA">
              <w:rPr>
                <w:rFonts w:ascii="Times New Roman" w:hAnsi="Times New Roman" w:cs="Times New Roman"/>
                <w:sz w:val="24"/>
                <w:szCs w:val="24"/>
              </w:rPr>
              <w:t>.</w:t>
            </w:r>
          </w:p>
        </w:tc>
      </w:tr>
      <w:tr w:rsidR="00D952C4" w:rsidRPr="009F3ADA" w14:paraId="456DF478" w14:textId="77777777" w:rsidTr="005B2081">
        <w:tc>
          <w:tcPr>
            <w:tcW w:w="1129" w:type="dxa"/>
          </w:tcPr>
          <w:p w14:paraId="315E5C73" w14:textId="4142DFAD"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0040</w:t>
            </w:r>
          </w:p>
        </w:tc>
        <w:tc>
          <w:tcPr>
            <w:tcW w:w="7797" w:type="dxa"/>
          </w:tcPr>
          <w:p w14:paraId="3A99BF12" w14:textId="6B31A06B" w:rsidR="00D952C4" w:rsidRPr="009F3ADA" w:rsidRDefault="00102983" w:rsidP="00D952C4">
            <w:pPr>
              <w:rPr>
                <w:rFonts w:ascii="Times New Roman" w:hAnsi="Times New Roman" w:cs="Times New Roman"/>
                <w:b/>
                <w:bCs/>
                <w:sz w:val="24"/>
                <w:szCs w:val="24"/>
              </w:rPr>
            </w:pPr>
            <w:r w:rsidRPr="009F3ADA">
              <w:rPr>
                <w:rFonts w:ascii="Times New Roman" w:hAnsi="Times New Roman" w:cs="Times New Roman"/>
                <w:b/>
                <w:bCs/>
                <w:sz w:val="24"/>
                <w:szCs w:val="24"/>
              </w:rPr>
              <w:t>Total a</w:t>
            </w:r>
            <w:r w:rsidR="00D952C4" w:rsidRPr="009F3ADA">
              <w:rPr>
                <w:rFonts w:ascii="Times New Roman" w:hAnsi="Times New Roman" w:cs="Times New Roman"/>
                <w:b/>
                <w:bCs/>
                <w:sz w:val="24"/>
                <w:szCs w:val="24"/>
              </w:rPr>
              <w:t xml:space="preserve">ctive </w:t>
            </w:r>
          </w:p>
          <w:p w14:paraId="4490CA6B" w14:textId="28DF1B89"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Activele totale în conformitate cu IFRS. </w:t>
            </w:r>
          </w:p>
          <w:p w14:paraId="0C0D77A8" w14:textId="7EB69950"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sz w:val="24"/>
                <w:szCs w:val="24"/>
              </w:rPr>
              <w:t xml:space="preserve">În cazul raportării consolidate, banca raportează activele totale respectând perimetrul de consolidare </w:t>
            </w:r>
            <w:proofErr w:type="spellStart"/>
            <w:r w:rsidRPr="009F3ADA">
              <w:rPr>
                <w:rFonts w:ascii="Times New Roman" w:hAnsi="Times New Roman" w:cs="Times New Roman"/>
                <w:sz w:val="24"/>
                <w:szCs w:val="24"/>
              </w:rPr>
              <w:t>prudenţial</w:t>
            </w:r>
            <w:proofErr w:type="spellEnd"/>
            <w:r w:rsidRPr="009F3ADA">
              <w:rPr>
                <w:rFonts w:ascii="Times New Roman" w:hAnsi="Times New Roman" w:cs="Times New Roman"/>
                <w:sz w:val="24"/>
                <w:szCs w:val="24"/>
              </w:rPr>
              <w:t xml:space="preserve"> în conformitate cu prevederile Regulamentului cu privire la supravegherea pe bază consolidată a băncilor.</w:t>
            </w:r>
          </w:p>
        </w:tc>
      </w:tr>
      <w:tr w:rsidR="00D952C4" w:rsidRPr="009F3ADA" w14:paraId="1FC33C22" w14:textId="77777777" w:rsidTr="005B2081">
        <w:tc>
          <w:tcPr>
            <w:tcW w:w="1129" w:type="dxa"/>
          </w:tcPr>
          <w:p w14:paraId="264888B8" w14:textId="62C2F348"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0050</w:t>
            </w:r>
          </w:p>
        </w:tc>
        <w:tc>
          <w:tcPr>
            <w:tcW w:w="7797" w:type="dxa"/>
          </w:tcPr>
          <w:p w14:paraId="26AD48B8" w14:textId="2EC9EEAC"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b/>
                <w:bCs/>
                <w:sz w:val="24"/>
                <w:szCs w:val="24"/>
              </w:rPr>
              <w:t>Procentajul din total</w:t>
            </w:r>
            <w:r w:rsidR="00102983" w:rsidRPr="009F3ADA">
              <w:rPr>
                <w:rFonts w:ascii="Times New Roman" w:hAnsi="Times New Roman" w:cs="Times New Roman"/>
                <w:b/>
                <w:bCs/>
                <w:sz w:val="24"/>
                <w:szCs w:val="24"/>
              </w:rPr>
              <w:t>ul activelor</w:t>
            </w:r>
            <w:r w:rsidRPr="009F3ADA">
              <w:rPr>
                <w:rFonts w:ascii="Times New Roman" w:hAnsi="Times New Roman" w:cs="Times New Roman"/>
                <w:sz w:val="24"/>
                <w:szCs w:val="24"/>
              </w:rPr>
              <w:t xml:space="preserve"> </w:t>
            </w:r>
          </w:p>
          <w:p w14:paraId="47B1CE9D" w14:textId="2A735C6B"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Rata care se calculează </w:t>
            </w:r>
            <w:proofErr w:type="spellStart"/>
            <w:r w:rsidRPr="009F3ADA">
              <w:rPr>
                <w:rFonts w:ascii="Times New Roman" w:hAnsi="Times New Roman" w:cs="Times New Roman"/>
                <w:sz w:val="24"/>
                <w:szCs w:val="24"/>
              </w:rPr>
              <w:t>împărţind</w:t>
            </w:r>
            <w:proofErr w:type="spellEnd"/>
            <w:r w:rsidRPr="009F3ADA">
              <w:rPr>
                <w:rFonts w:ascii="Times New Roman" w:hAnsi="Times New Roman" w:cs="Times New Roman"/>
                <w:sz w:val="24"/>
                <w:szCs w:val="24"/>
              </w:rPr>
              <w:t xml:space="preserve"> volumul </w:t>
            </w:r>
            <w:proofErr w:type="spellStart"/>
            <w:r w:rsidRPr="009F3ADA">
              <w:rPr>
                <w:rFonts w:ascii="Times New Roman" w:hAnsi="Times New Roman" w:cs="Times New Roman"/>
                <w:sz w:val="24"/>
                <w:szCs w:val="24"/>
              </w:rPr>
              <w:t>operaţiunilor</w:t>
            </w:r>
            <w:proofErr w:type="spellEnd"/>
            <w:r w:rsidRPr="009F3ADA">
              <w:rPr>
                <w:rFonts w:ascii="Times New Roman" w:hAnsi="Times New Roman" w:cs="Times New Roman"/>
                <w:sz w:val="24"/>
                <w:szCs w:val="24"/>
              </w:rPr>
              <w:t xml:space="preserve"> cu instrumente financiare derivate (rândul 0010) la activele totale (rândul 0040).</w:t>
            </w:r>
          </w:p>
        </w:tc>
      </w:tr>
      <w:tr w:rsidR="00D952C4" w:rsidRPr="009F3ADA" w14:paraId="5541587F" w14:textId="77777777" w:rsidTr="00035DA3">
        <w:tc>
          <w:tcPr>
            <w:tcW w:w="8926" w:type="dxa"/>
            <w:gridSpan w:val="2"/>
          </w:tcPr>
          <w:p w14:paraId="2EDFA81E" w14:textId="49525D98"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b/>
                <w:bCs/>
                <w:sz w:val="24"/>
                <w:szCs w:val="24"/>
              </w:rPr>
              <w:t>D</w:t>
            </w:r>
            <w:r w:rsidR="00102983" w:rsidRPr="009F3ADA">
              <w:rPr>
                <w:rFonts w:ascii="Times New Roman" w:hAnsi="Times New Roman" w:cs="Times New Roman"/>
                <w:b/>
                <w:bCs/>
                <w:sz w:val="24"/>
                <w:szCs w:val="24"/>
              </w:rPr>
              <w:t xml:space="preserve">erogare în conformitate cu </w:t>
            </w:r>
            <w:r w:rsidRPr="009F3ADA">
              <w:rPr>
                <w:rFonts w:ascii="Times New Roman" w:hAnsi="Times New Roman" w:cs="Times New Roman"/>
                <w:b/>
                <w:bCs/>
                <w:sz w:val="24"/>
                <w:szCs w:val="24"/>
              </w:rPr>
              <w:t>punctul 2</w:t>
            </w:r>
            <w:r w:rsidR="00F0465F" w:rsidRPr="009F3ADA">
              <w:rPr>
                <w:rFonts w:ascii="Times New Roman" w:hAnsi="Times New Roman" w:cs="Times New Roman"/>
                <w:b/>
                <w:bCs/>
                <w:sz w:val="24"/>
                <w:szCs w:val="24"/>
              </w:rPr>
              <w:t>4</w:t>
            </w:r>
            <w:r w:rsidRPr="009F3ADA">
              <w:rPr>
                <w:rFonts w:ascii="Times New Roman" w:hAnsi="Times New Roman" w:cs="Times New Roman"/>
                <w:b/>
                <w:bCs/>
                <w:sz w:val="24"/>
                <w:szCs w:val="24"/>
              </w:rPr>
              <w:t xml:space="preserve"> din Regulamentul </w:t>
            </w:r>
            <w:r w:rsidR="00E972F3" w:rsidRPr="009F3ADA">
              <w:rPr>
                <w:rFonts w:ascii="Times New Roman" w:hAnsi="Times New Roman" w:cs="Times New Roman"/>
                <w:b/>
                <w:bCs/>
                <w:sz w:val="24"/>
                <w:szCs w:val="24"/>
              </w:rPr>
              <w:t xml:space="preserve">nr.220/2025 </w:t>
            </w:r>
            <w:r w:rsidRPr="009F3ADA">
              <w:rPr>
                <w:rFonts w:ascii="Times New Roman" w:hAnsi="Times New Roman" w:cs="Times New Roman"/>
                <w:b/>
                <w:bCs/>
                <w:sz w:val="24"/>
                <w:szCs w:val="24"/>
              </w:rPr>
              <w:t xml:space="preserve">cu privire la tratamentul riscului de credit al </w:t>
            </w:r>
            <w:proofErr w:type="spellStart"/>
            <w:r w:rsidRPr="009F3ADA">
              <w:rPr>
                <w:rFonts w:ascii="Times New Roman" w:hAnsi="Times New Roman" w:cs="Times New Roman"/>
                <w:b/>
                <w:bCs/>
                <w:sz w:val="24"/>
                <w:szCs w:val="24"/>
              </w:rPr>
              <w:t>contrapărţii</w:t>
            </w:r>
            <w:proofErr w:type="spellEnd"/>
            <w:r w:rsidRPr="009F3ADA">
              <w:rPr>
                <w:rFonts w:ascii="Times New Roman" w:hAnsi="Times New Roman" w:cs="Times New Roman"/>
                <w:b/>
                <w:bCs/>
                <w:sz w:val="24"/>
                <w:szCs w:val="24"/>
              </w:rPr>
              <w:t xml:space="preserve"> pentru bănci</w:t>
            </w:r>
          </w:p>
        </w:tc>
      </w:tr>
      <w:tr w:rsidR="00D952C4" w:rsidRPr="009F3ADA" w14:paraId="32A53ABC" w14:textId="77777777" w:rsidTr="005B2081">
        <w:tc>
          <w:tcPr>
            <w:tcW w:w="1129" w:type="dxa"/>
          </w:tcPr>
          <w:p w14:paraId="534EA472" w14:textId="2D938E9A"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0060</w:t>
            </w:r>
          </w:p>
        </w:tc>
        <w:tc>
          <w:tcPr>
            <w:tcW w:w="7797" w:type="dxa"/>
          </w:tcPr>
          <w:p w14:paraId="5FFD2DB9" w14:textId="72B7DC87"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b/>
                <w:bCs/>
                <w:sz w:val="24"/>
                <w:szCs w:val="24"/>
              </w:rPr>
              <w:t xml:space="preserve">Sunt îndeplinite </w:t>
            </w:r>
            <w:proofErr w:type="spellStart"/>
            <w:r w:rsidRPr="009F3ADA">
              <w:rPr>
                <w:rFonts w:ascii="Times New Roman" w:hAnsi="Times New Roman" w:cs="Times New Roman"/>
                <w:b/>
                <w:bCs/>
                <w:sz w:val="24"/>
                <w:szCs w:val="24"/>
              </w:rPr>
              <w:t>condiţiile</w:t>
            </w:r>
            <w:proofErr w:type="spellEnd"/>
            <w:r w:rsidRPr="009F3ADA">
              <w:rPr>
                <w:rFonts w:ascii="Times New Roman" w:hAnsi="Times New Roman" w:cs="Times New Roman"/>
                <w:b/>
                <w:bCs/>
                <w:sz w:val="24"/>
                <w:szCs w:val="24"/>
              </w:rPr>
              <w:t xml:space="preserve"> prevăzute la punctul 2</w:t>
            </w:r>
            <w:r w:rsidR="00F0465F" w:rsidRPr="009F3ADA">
              <w:rPr>
                <w:rFonts w:ascii="Times New Roman" w:hAnsi="Times New Roman" w:cs="Times New Roman"/>
                <w:b/>
                <w:bCs/>
                <w:sz w:val="24"/>
                <w:szCs w:val="24"/>
              </w:rPr>
              <w:t>4</w:t>
            </w:r>
            <w:r w:rsidRPr="009F3ADA">
              <w:rPr>
                <w:rFonts w:ascii="Times New Roman" w:hAnsi="Times New Roman" w:cs="Times New Roman"/>
                <w:b/>
                <w:bCs/>
                <w:sz w:val="24"/>
                <w:szCs w:val="24"/>
              </w:rPr>
              <w:t xml:space="preserve"> din Regulamentul </w:t>
            </w:r>
            <w:r w:rsidR="00E972F3" w:rsidRPr="009F3ADA">
              <w:rPr>
                <w:rFonts w:ascii="Times New Roman" w:hAnsi="Times New Roman" w:cs="Times New Roman"/>
                <w:b/>
                <w:bCs/>
                <w:sz w:val="24"/>
                <w:szCs w:val="24"/>
              </w:rPr>
              <w:t xml:space="preserve">nr.220/2025 </w:t>
            </w:r>
            <w:r w:rsidRPr="009F3ADA">
              <w:rPr>
                <w:rFonts w:ascii="Times New Roman" w:hAnsi="Times New Roman" w:cs="Times New Roman"/>
                <w:b/>
                <w:bCs/>
                <w:sz w:val="24"/>
                <w:szCs w:val="24"/>
              </w:rPr>
              <w:t xml:space="preserve">cu privire la tratamentul riscului de credit al </w:t>
            </w:r>
            <w:proofErr w:type="spellStart"/>
            <w:r w:rsidRPr="009F3ADA">
              <w:rPr>
                <w:rFonts w:ascii="Times New Roman" w:hAnsi="Times New Roman" w:cs="Times New Roman"/>
                <w:b/>
                <w:bCs/>
                <w:sz w:val="24"/>
                <w:szCs w:val="24"/>
              </w:rPr>
              <w:t>contrapărţii</w:t>
            </w:r>
            <w:proofErr w:type="spellEnd"/>
            <w:r w:rsidRPr="009F3ADA">
              <w:rPr>
                <w:rFonts w:ascii="Times New Roman" w:hAnsi="Times New Roman" w:cs="Times New Roman"/>
                <w:b/>
                <w:bCs/>
                <w:sz w:val="24"/>
                <w:szCs w:val="24"/>
              </w:rPr>
              <w:t xml:space="preserve"> pentru bănci? </w:t>
            </w:r>
          </w:p>
          <w:p w14:paraId="78CCA084" w14:textId="29F9A2C5"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Punctul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  </w:t>
            </w:r>
          </w:p>
          <w:p w14:paraId="0B079CBB" w14:textId="2181125B"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Băncile care depășesc pragurile de utilizare a unei abordări simplificate pentru riscul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dar care utilizează totuși o astfel de abordare în temeiul punctul</w:t>
            </w:r>
            <w:r w:rsidR="00A445ED" w:rsidRPr="009F3ADA">
              <w:rPr>
                <w:rFonts w:ascii="Times New Roman" w:hAnsi="Times New Roman" w:cs="Times New Roman"/>
                <w:sz w:val="24"/>
                <w:szCs w:val="24"/>
              </w:rPr>
              <w:t>ui</w:t>
            </w:r>
            <w:r w:rsidRPr="009F3ADA">
              <w:rPr>
                <w:rFonts w:ascii="Times New Roman" w:hAnsi="Times New Roman" w:cs="Times New Roman"/>
                <w:sz w:val="24"/>
                <w:szCs w:val="24"/>
              </w:rPr>
              <w:t xml:space="preserve">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 trebuie să indice (prin Da/Nu) dacă îndeplinesc toate </w:t>
            </w:r>
            <w:proofErr w:type="spellStart"/>
            <w:r w:rsidRPr="009F3ADA">
              <w:rPr>
                <w:rFonts w:ascii="Times New Roman" w:hAnsi="Times New Roman" w:cs="Times New Roman"/>
                <w:sz w:val="24"/>
                <w:szCs w:val="24"/>
              </w:rPr>
              <w:t>condiţiile</w:t>
            </w:r>
            <w:proofErr w:type="spellEnd"/>
            <w:r w:rsidRPr="009F3ADA">
              <w:rPr>
                <w:rFonts w:ascii="Times New Roman" w:hAnsi="Times New Roman" w:cs="Times New Roman"/>
                <w:sz w:val="24"/>
                <w:szCs w:val="24"/>
              </w:rPr>
              <w:t xml:space="preserve"> prevăzute la articolul respectiv. Acest element se raportează numai de către băncile care aplică derogarea prevăzută la punctul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w:t>
            </w:r>
          </w:p>
        </w:tc>
      </w:tr>
      <w:tr w:rsidR="00D952C4" w:rsidRPr="009F3ADA" w14:paraId="6FED6DF0" w14:textId="77777777" w:rsidTr="005B2081">
        <w:tc>
          <w:tcPr>
            <w:tcW w:w="1129" w:type="dxa"/>
          </w:tcPr>
          <w:p w14:paraId="3AC55565" w14:textId="6A3BBBF3"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0070</w:t>
            </w:r>
          </w:p>
        </w:tc>
        <w:tc>
          <w:tcPr>
            <w:tcW w:w="7797" w:type="dxa"/>
          </w:tcPr>
          <w:p w14:paraId="1DF97DC4" w14:textId="50FB1C41" w:rsidR="00D952C4" w:rsidRPr="009F3ADA" w:rsidRDefault="00D952C4" w:rsidP="00D952C4">
            <w:pPr>
              <w:rPr>
                <w:rFonts w:ascii="Times New Roman" w:hAnsi="Times New Roman" w:cs="Times New Roman"/>
                <w:b/>
                <w:bCs/>
                <w:sz w:val="24"/>
                <w:szCs w:val="24"/>
              </w:rPr>
            </w:pPr>
            <w:r w:rsidRPr="009F3ADA">
              <w:rPr>
                <w:rFonts w:ascii="Times New Roman" w:hAnsi="Times New Roman" w:cs="Times New Roman"/>
                <w:b/>
                <w:bCs/>
                <w:sz w:val="24"/>
                <w:szCs w:val="24"/>
              </w:rPr>
              <w:t xml:space="preserve">Metoda de calcul a valorilor expunerilor la nivel consolidat </w:t>
            </w:r>
          </w:p>
          <w:p w14:paraId="5D8DF584" w14:textId="278F537C"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Punctul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 </w:t>
            </w:r>
          </w:p>
          <w:p w14:paraId="5D7DC593" w14:textId="095B58CF"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 xml:space="preserve">Metoda de calculare a valorilor expunerilor aferente </w:t>
            </w:r>
            <w:proofErr w:type="spellStart"/>
            <w:r w:rsidRPr="009F3ADA">
              <w:rPr>
                <w:rFonts w:ascii="Times New Roman" w:hAnsi="Times New Roman" w:cs="Times New Roman"/>
                <w:sz w:val="24"/>
                <w:szCs w:val="24"/>
              </w:rPr>
              <w:t>poziţiilor</w:t>
            </w:r>
            <w:proofErr w:type="spellEnd"/>
            <w:r w:rsidRPr="009F3ADA">
              <w:rPr>
                <w:rFonts w:ascii="Times New Roman" w:hAnsi="Times New Roman" w:cs="Times New Roman"/>
                <w:sz w:val="24"/>
                <w:szCs w:val="24"/>
              </w:rPr>
              <w:t xml:space="preserve"> pe instrumente financiare derivate pe bază consolidată care este utilizată și la nivel de entitate individuală în conformitate cu punctul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 — OEM: metoda expunerii </w:t>
            </w:r>
            <w:proofErr w:type="spellStart"/>
            <w:r w:rsidRPr="009F3ADA">
              <w:rPr>
                <w:rFonts w:ascii="Times New Roman" w:hAnsi="Times New Roman" w:cs="Times New Roman"/>
                <w:sz w:val="24"/>
                <w:szCs w:val="24"/>
              </w:rPr>
              <w:t>iniţiale</w:t>
            </w:r>
            <w:proofErr w:type="spellEnd"/>
            <w:r w:rsidRPr="009F3ADA">
              <w:rPr>
                <w:rFonts w:ascii="Times New Roman" w:hAnsi="Times New Roman" w:cs="Times New Roman"/>
                <w:sz w:val="24"/>
                <w:szCs w:val="24"/>
              </w:rPr>
              <w:t xml:space="preserve"> — SA-CCR simplificată: abordarea standardizată simplificată pentru riscul de credit al </w:t>
            </w:r>
            <w:proofErr w:type="spellStart"/>
            <w:r w:rsidRPr="009F3ADA">
              <w:rPr>
                <w:rFonts w:ascii="Times New Roman" w:hAnsi="Times New Roman" w:cs="Times New Roman"/>
                <w:sz w:val="24"/>
                <w:szCs w:val="24"/>
              </w:rPr>
              <w:t>contrapărţii</w:t>
            </w:r>
            <w:proofErr w:type="spellEnd"/>
            <w:r w:rsidR="00A445ED" w:rsidRPr="009F3ADA">
              <w:rPr>
                <w:rFonts w:ascii="Times New Roman" w:hAnsi="Times New Roman" w:cs="Times New Roman"/>
                <w:sz w:val="24"/>
                <w:szCs w:val="24"/>
              </w:rPr>
              <w:t>.</w:t>
            </w:r>
          </w:p>
          <w:p w14:paraId="3F69E4E0" w14:textId="27D685F3" w:rsidR="00D952C4" w:rsidRPr="009F3ADA" w:rsidRDefault="00D952C4" w:rsidP="00D952C4">
            <w:pPr>
              <w:rPr>
                <w:rFonts w:ascii="Times New Roman" w:hAnsi="Times New Roman" w:cs="Times New Roman"/>
                <w:sz w:val="24"/>
                <w:szCs w:val="24"/>
              </w:rPr>
            </w:pPr>
            <w:r w:rsidRPr="009F3ADA">
              <w:rPr>
                <w:rFonts w:ascii="Times New Roman" w:hAnsi="Times New Roman" w:cs="Times New Roman"/>
                <w:sz w:val="24"/>
                <w:szCs w:val="24"/>
              </w:rPr>
              <w:t>Acest element se raportează numai de către băncile care aplică derogarea prevăzută la punctul 2</w:t>
            </w:r>
            <w:r w:rsidR="00F0465F" w:rsidRPr="009F3ADA">
              <w:rPr>
                <w:rFonts w:ascii="Times New Roman" w:hAnsi="Times New Roman" w:cs="Times New Roman"/>
                <w:sz w:val="24"/>
                <w:szCs w:val="24"/>
              </w:rPr>
              <w:t>4</w:t>
            </w:r>
            <w:r w:rsidRPr="009F3ADA">
              <w:rPr>
                <w:rFonts w:ascii="Times New Roman" w:hAnsi="Times New Roman" w:cs="Times New Roman"/>
                <w:sz w:val="24"/>
                <w:szCs w:val="24"/>
              </w:rPr>
              <w:t xml:space="preserve"> din Regulamentul </w:t>
            </w:r>
            <w:r w:rsidR="00E972F3" w:rsidRPr="009F3ADA">
              <w:rPr>
                <w:rFonts w:ascii="Times New Roman" w:hAnsi="Times New Roman" w:cs="Times New Roman"/>
                <w:sz w:val="24"/>
                <w:szCs w:val="24"/>
              </w:rPr>
              <w:t xml:space="preserve">nr.220/2025 </w:t>
            </w:r>
            <w:r w:rsidRPr="009F3ADA">
              <w:rPr>
                <w:rFonts w:ascii="Times New Roman" w:hAnsi="Times New Roman" w:cs="Times New Roman"/>
                <w:sz w:val="24"/>
                <w:szCs w:val="24"/>
              </w:rPr>
              <w:t xml:space="preserve">cu privire la tratamentul riscului de credit al </w:t>
            </w:r>
            <w:proofErr w:type="spellStart"/>
            <w:r w:rsidRPr="009F3ADA">
              <w:rPr>
                <w:rFonts w:ascii="Times New Roman" w:hAnsi="Times New Roman" w:cs="Times New Roman"/>
                <w:sz w:val="24"/>
                <w:szCs w:val="24"/>
              </w:rPr>
              <w:t>contrapărţii</w:t>
            </w:r>
            <w:proofErr w:type="spellEnd"/>
            <w:r w:rsidRPr="009F3ADA">
              <w:rPr>
                <w:rFonts w:ascii="Times New Roman" w:hAnsi="Times New Roman" w:cs="Times New Roman"/>
                <w:sz w:val="24"/>
                <w:szCs w:val="24"/>
              </w:rPr>
              <w:t xml:space="preserve"> pentru bănci.</w:t>
            </w:r>
          </w:p>
        </w:tc>
      </w:tr>
    </w:tbl>
    <w:p w14:paraId="6CC62C18" w14:textId="77777777" w:rsidR="004E614B" w:rsidRPr="009F3ADA" w:rsidRDefault="004E614B">
      <w:pPr>
        <w:rPr>
          <w:rFonts w:ascii="Times New Roman" w:hAnsi="Times New Roman" w:cs="Times New Roman"/>
          <w:sz w:val="24"/>
          <w:szCs w:val="24"/>
        </w:rPr>
      </w:pPr>
    </w:p>
    <w:p w14:paraId="0DB5CF47" w14:textId="77777777" w:rsidR="00D10984" w:rsidRPr="009F3ADA" w:rsidRDefault="00D10984">
      <w:pPr>
        <w:rPr>
          <w:rFonts w:ascii="Times New Roman" w:hAnsi="Times New Roman" w:cs="Times New Roman"/>
          <w:sz w:val="24"/>
          <w:szCs w:val="24"/>
        </w:rPr>
      </w:pPr>
    </w:p>
    <w:p w14:paraId="5ADCEA68" w14:textId="77777777" w:rsidR="00D10984" w:rsidRPr="009F3ADA" w:rsidRDefault="00D10984">
      <w:pPr>
        <w:rPr>
          <w:rFonts w:ascii="Times New Roman" w:hAnsi="Times New Roman" w:cs="Times New Roman"/>
          <w:sz w:val="24"/>
          <w:szCs w:val="24"/>
        </w:rPr>
      </w:pPr>
    </w:p>
    <w:p w14:paraId="33EC29A4" w14:textId="77777777" w:rsidR="00D10984" w:rsidRPr="009F3ADA" w:rsidRDefault="00D10984">
      <w:pPr>
        <w:rPr>
          <w:rFonts w:ascii="Times New Roman" w:hAnsi="Times New Roman" w:cs="Times New Roman"/>
          <w:sz w:val="24"/>
          <w:szCs w:val="24"/>
        </w:rPr>
      </w:pPr>
    </w:p>
    <w:p w14:paraId="39C2F97F" w14:textId="77777777" w:rsidR="00D10984" w:rsidRPr="009F3ADA" w:rsidRDefault="00D10984">
      <w:pPr>
        <w:rPr>
          <w:rFonts w:ascii="Times New Roman" w:hAnsi="Times New Roman" w:cs="Times New Roman"/>
          <w:sz w:val="24"/>
          <w:szCs w:val="24"/>
        </w:rPr>
      </w:pPr>
    </w:p>
    <w:p w14:paraId="74C07F38" w14:textId="77777777" w:rsidR="00D10984" w:rsidRPr="009F3ADA" w:rsidRDefault="00D10984">
      <w:pPr>
        <w:rPr>
          <w:rFonts w:ascii="Times New Roman" w:hAnsi="Times New Roman" w:cs="Times New Roman"/>
          <w:sz w:val="24"/>
          <w:szCs w:val="24"/>
        </w:rPr>
      </w:pPr>
    </w:p>
    <w:p w14:paraId="553063D0" w14:textId="67404DFA" w:rsidR="00D95F1A" w:rsidRPr="009F3ADA" w:rsidRDefault="00D95F1A" w:rsidP="00D95F1A">
      <w:pPr>
        <w:shd w:val="clear" w:color="auto" w:fill="FFFFFF"/>
        <w:spacing w:after="120" w:line="312" w:lineRule="atLeast"/>
        <w:jc w:val="center"/>
        <w:rPr>
          <w:rFonts w:ascii="Times New Roman" w:eastAsia="Times New Roman" w:hAnsi="Times New Roman" w:cs="Times New Roman"/>
          <w:sz w:val="24"/>
          <w:szCs w:val="24"/>
          <w:lang w:eastAsia="ro-MD"/>
        </w:rPr>
      </w:pPr>
      <w:r w:rsidRPr="009F3ADA">
        <w:rPr>
          <w:rFonts w:ascii="Times New Roman" w:eastAsia="Calibri" w:hAnsi="Times New Roman" w:cs="Times New Roman"/>
          <w:b/>
          <w:sz w:val="24"/>
          <w:szCs w:val="24"/>
          <w:lang w:val="it-CH"/>
        </w:rPr>
        <w:t xml:space="preserve">PREZENTAREA GENERALĂ A </w:t>
      </w:r>
      <w:r w:rsidRPr="009F3ADA">
        <w:rPr>
          <w:rFonts w:ascii="Times New Roman" w:eastAsia="Times New Roman" w:hAnsi="Times New Roman" w:cs="Times New Roman"/>
          <w:b/>
          <w:bCs/>
          <w:sz w:val="24"/>
          <w:szCs w:val="24"/>
          <w:lang w:eastAsia="ro-MD"/>
        </w:rPr>
        <w:t xml:space="preserve">RAPORTĂRII PRIVIND RISCUL DE CREDIT AL CONTRAPĂRȚII: Expuneri la riscul de credit al </w:t>
      </w:r>
      <w:proofErr w:type="spellStart"/>
      <w:r w:rsidRPr="009F3ADA">
        <w:rPr>
          <w:rFonts w:ascii="Times New Roman" w:eastAsia="Times New Roman" w:hAnsi="Times New Roman" w:cs="Times New Roman"/>
          <w:b/>
          <w:bCs/>
          <w:sz w:val="24"/>
          <w:szCs w:val="24"/>
          <w:lang w:eastAsia="ro-MD"/>
        </w:rPr>
        <w:t>contrapărții</w:t>
      </w:r>
      <w:proofErr w:type="spellEnd"/>
      <w:r w:rsidRPr="009F3ADA">
        <w:rPr>
          <w:rFonts w:ascii="Times New Roman" w:eastAsia="Times New Roman" w:hAnsi="Times New Roman" w:cs="Times New Roman"/>
          <w:b/>
          <w:bCs/>
          <w:sz w:val="24"/>
          <w:szCs w:val="24"/>
          <w:lang w:eastAsia="ro-MD"/>
        </w:rPr>
        <w:t xml:space="preserve"> în funcție de abordare</w:t>
      </w:r>
    </w:p>
    <w:p w14:paraId="2B92B699" w14:textId="171770F1" w:rsidR="00D10984" w:rsidRPr="009F3ADA" w:rsidRDefault="003E6A15" w:rsidP="00207A67">
      <w:pPr>
        <w:jc w:val="both"/>
        <w:rPr>
          <w:rFonts w:ascii="Times New Roman" w:hAnsi="Times New Roman" w:cs="Times New Roman"/>
          <w:sz w:val="24"/>
          <w:szCs w:val="24"/>
        </w:rPr>
      </w:pPr>
      <w:r w:rsidRPr="009F3ADA">
        <w:rPr>
          <w:rFonts w:ascii="Times New Roman" w:hAnsi="Times New Roman" w:cs="Times New Roman"/>
          <w:sz w:val="24"/>
          <w:szCs w:val="24"/>
        </w:rPr>
        <w:t>Băncile</w:t>
      </w:r>
      <w:r w:rsidR="00635493" w:rsidRPr="009F3ADA">
        <w:rPr>
          <w:rFonts w:ascii="Times New Roman" w:hAnsi="Times New Roman" w:cs="Times New Roman"/>
          <w:sz w:val="24"/>
          <w:szCs w:val="24"/>
        </w:rPr>
        <w:t xml:space="preserve"> </w:t>
      </w:r>
      <w:r w:rsidR="00A445ED" w:rsidRPr="009F3ADA">
        <w:rPr>
          <w:rFonts w:ascii="Times New Roman" w:hAnsi="Times New Roman" w:cs="Times New Roman"/>
          <w:sz w:val="24"/>
          <w:szCs w:val="24"/>
        </w:rPr>
        <w:t xml:space="preserve">completează </w:t>
      </w:r>
      <w:r w:rsidR="00635493" w:rsidRPr="009F3ADA">
        <w:rPr>
          <w:rFonts w:ascii="Times New Roman" w:hAnsi="Times New Roman" w:cs="Times New Roman"/>
          <w:sz w:val="24"/>
          <w:szCs w:val="24"/>
        </w:rPr>
        <w:t xml:space="preserve">formularul separat pentru toate expunerile la riscul de credit al </w:t>
      </w:r>
      <w:proofErr w:type="spellStart"/>
      <w:r w:rsidR="00635493" w:rsidRPr="009F3ADA">
        <w:rPr>
          <w:rFonts w:ascii="Times New Roman" w:hAnsi="Times New Roman" w:cs="Times New Roman"/>
          <w:sz w:val="24"/>
          <w:szCs w:val="24"/>
        </w:rPr>
        <w:t>contrapărţii</w:t>
      </w:r>
      <w:proofErr w:type="spellEnd"/>
      <w:r w:rsidR="00635493" w:rsidRPr="009F3ADA">
        <w:rPr>
          <w:rFonts w:ascii="Times New Roman" w:hAnsi="Times New Roman" w:cs="Times New Roman"/>
          <w:sz w:val="24"/>
          <w:szCs w:val="24"/>
        </w:rPr>
        <w:t xml:space="preserve">, cu </w:t>
      </w:r>
      <w:proofErr w:type="spellStart"/>
      <w:r w:rsidR="00635493" w:rsidRPr="009F3ADA">
        <w:rPr>
          <w:rFonts w:ascii="Times New Roman" w:hAnsi="Times New Roman" w:cs="Times New Roman"/>
          <w:sz w:val="24"/>
          <w:szCs w:val="24"/>
        </w:rPr>
        <w:t>excepţia</w:t>
      </w:r>
      <w:proofErr w:type="spellEnd"/>
      <w:r w:rsidR="00635493" w:rsidRPr="009F3ADA">
        <w:rPr>
          <w:rFonts w:ascii="Times New Roman" w:hAnsi="Times New Roman" w:cs="Times New Roman"/>
          <w:sz w:val="24"/>
          <w:szCs w:val="24"/>
        </w:rPr>
        <w:t xml:space="preserve"> expunerilor </w:t>
      </w:r>
      <w:proofErr w:type="spellStart"/>
      <w:r w:rsidR="00635493" w:rsidRPr="009F3ADA">
        <w:rPr>
          <w:rFonts w:ascii="Times New Roman" w:hAnsi="Times New Roman" w:cs="Times New Roman"/>
          <w:sz w:val="24"/>
          <w:szCs w:val="24"/>
        </w:rPr>
        <w:t>faţă</w:t>
      </w:r>
      <w:proofErr w:type="spellEnd"/>
      <w:r w:rsidR="00635493" w:rsidRPr="009F3ADA">
        <w:rPr>
          <w:rFonts w:ascii="Times New Roman" w:hAnsi="Times New Roman" w:cs="Times New Roman"/>
          <w:sz w:val="24"/>
          <w:szCs w:val="24"/>
        </w:rPr>
        <w:t xml:space="preserve"> de </w:t>
      </w:r>
      <w:proofErr w:type="spellStart"/>
      <w:r w:rsidR="00635493" w:rsidRPr="009F3ADA">
        <w:rPr>
          <w:rFonts w:ascii="Times New Roman" w:hAnsi="Times New Roman" w:cs="Times New Roman"/>
          <w:sz w:val="24"/>
          <w:szCs w:val="24"/>
        </w:rPr>
        <w:t>contrapărţi</w:t>
      </w:r>
      <w:r w:rsidR="005341E3" w:rsidRPr="009F3ADA">
        <w:rPr>
          <w:rFonts w:ascii="Times New Roman" w:hAnsi="Times New Roman" w:cs="Times New Roman"/>
          <w:sz w:val="24"/>
          <w:szCs w:val="24"/>
        </w:rPr>
        <w:t>le</w:t>
      </w:r>
      <w:proofErr w:type="spellEnd"/>
      <w:r w:rsidR="00635493" w:rsidRPr="009F3ADA">
        <w:rPr>
          <w:rFonts w:ascii="Times New Roman" w:hAnsi="Times New Roman" w:cs="Times New Roman"/>
          <w:sz w:val="24"/>
          <w:szCs w:val="24"/>
        </w:rPr>
        <w:t xml:space="preserve"> centrale (CPC), astfel cum sunt definite în formularul C 34.10</w:t>
      </w:r>
      <w:r w:rsidR="00D95F1A" w:rsidRPr="009F3ADA">
        <w:rPr>
          <w:rFonts w:ascii="Times New Roman" w:hAnsi="Times New Roman" w:cs="Times New Roman"/>
          <w:sz w:val="24"/>
          <w:szCs w:val="24"/>
        </w:rPr>
        <w:t>.</w:t>
      </w:r>
    </w:p>
    <w:p w14:paraId="76B3D538" w14:textId="77777777" w:rsidR="006F7FA2" w:rsidRPr="009F3ADA" w:rsidRDefault="006F7FA2" w:rsidP="006F7FA2">
      <w:pPr>
        <w:rPr>
          <w:rFonts w:ascii="Times New Roman" w:hAnsi="Times New Roman" w:cs="Times New Roman"/>
          <w:sz w:val="24"/>
          <w:szCs w:val="24"/>
        </w:rPr>
      </w:pPr>
    </w:p>
    <w:p w14:paraId="1964F952" w14:textId="77777777" w:rsidR="006F7FA2" w:rsidRPr="009F3ADA" w:rsidRDefault="006F7FA2" w:rsidP="006F7FA2">
      <w:pPr>
        <w:rPr>
          <w:rFonts w:ascii="Times New Roman" w:hAnsi="Times New Roman" w:cs="Times New Roman"/>
          <w:sz w:val="24"/>
          <w:szCs w:val="24"/>
        </w:rPr>
      </w:pPr>
    </w:p>
    <w:p w14:paraId="705BD841" w14:textId="77777777" w:rsidR="006F7FA2" w:rsidRPr="009F3ADA" w:rsidRDefault="006F7FA2" w:rsidP="006F7FA2">
      <w:pPr>
        <w:rPr>
          <w:rFonts w:ascii="Times New Roman" w:hAnsi="Times New Roman" w:cs="Times New Roman"/>
          <w:sz w:val="24"/>
          <w:szCs w:val="24"/>
        </w:rPr>
      </w:pPr>
    </w:p>
    <w:p w14:paraId="7F53D8A4" w14:textId="77777777" w:rsidR="006F7FA2" w:rsidRPr="009F3ADA" w:rsidRDefault="006F7FA2" w:rsidP="006F7FA2">
      <w:pPr>
        <w:rPr>
          <w:rFonts w:ascii="Times New Roman" w:hAnsi="Times New Roman" w:cs="Times New Roman"/>
          <w:sz w:val="24"/>
          <w:szCs w:val="24"/>
        </w:rPr>
      </w:pPr>
    </w:p>
    <w:p w14:paraId="10DC0168" w14:textId="77777777" w:rsidR="006F7FA2" w:rsidRPr="009F3ADA" w:rsidRDefault="006F7FA2" w:rsidP="006F7FA2">
      <w:pPr>
        <w:rPr>
          <w:rFonts w:ascii="Times New Roman" w:hAnsi="Times New Roman" w:cs="Times New Roman"/>
          <w:sz w:val="24"/>
          <w:szCs w:val="24"/>
        </w:rPr>
      </w:pPr>
    </w:p>
    <w:p w14:paraId="10F794C7" w14:textId="77777777" w:rsidR="006F7FA2" w:rsidRPr="009F3ADA" w:rsidRDefault="006F7FA2" w:rsidP="006F7FA2">
      <w:pPr>
        <w:rPr>
          <w:rFonts w:ascii="Times New Roman" w:hAnsi="Times New Roman" w:cs="Times New Roman"/>
          <w:sz w:val="24"/>
          <w:szCs w:val="24"/>
        </w:rPr>
      </w:pPr>
    </w:p>
    <w:p w14:paraId="53A81235" w14:textId="77777777" w:rsidR="006F7FA2" w:rsidRPr="009F3ADA" w:rsidRDefault="006F7FA2" w:rsidP="006F7FA2">
      <w:pPr>
        <w:rPr>
          <w:rFonts w:ascii="Times New Roman" w:hAnsi="Times New Roman" w:cs="Times New Roman"/>
          <w:sz w:val="24"/>
          <w:szCs w:val="24"/>
        </w:rPr>
      </w:pPr>
    </w:p>
    <w:p w14:paraId="3A706659" w14:textId="77777777" w:rsidR="006F7FA2" w:rsidRPr="009F3ADA" w:rsidRDefault="006F7FA2" w:rsidP="006F7FA2">
      <w:pPr>
        <w:rPr>
          <w:rFonts w:ascii="Times New Roman" w:hAnsi="Times New Roman" w:cs="Times New Roman"/>
          <w:sz w:val="24"/>
          <w:szCs w:val="24"/>
        </w:rPr>
      </w:pPr>
    </w:p>
    <w:p w14:paraId="4D1FBCD9" w14:textId="77777777" w:rsidR="006F7FA2" w:rsidRPr="009F3ADA" w:rsidRDefault="006F7FA2" w:rsidP="006F7FA2">
      <w:pPr>
        <w:rPr>
          <w:rFonts w:ascii="Times New Roman" w:hAnsi="Times New Roman" w:cs="Times New Roman"/>
          <w:sz w:val="24"/>
          <w:szCs w:val="24"/>
        </w:rPr>
      </w:pPr>
    </w:p>
    <w:p w14:paraId="75FBDDC6" w14:textId="77777777" w:rsidR="006F7FA2" w:rsidRPr="009F3ADA" w:rsidRDefault="006F7FA2" w:rsidP="006F7FA2">
      <w:pPr>
        <w:rPr>
          <w:rFonts w:ascii="Times New Roman" w:hAnsi="Times New Roman" w:cs="Times New Roman"/>
          <w:sz w:val="24"/>
          <w:szCs w:val="24"/>
        </w:rPr>
      </w:pPr>
    </w:p>
    <w:p w14:paraId="46FE2B5B" w14:textId="77777777" w:rsidR="006F7FA2" w:rsidRPr="009F3ADA" w:rsidRDefault="006F7FA2" w:rsidP="006F7FA2">
      <w:pPr>
        <w:rPr>
          <w:rFonts w:ascii="Times New Roman" w:hAnsi="Times New Roman" w:cs="Times New Roman"/>
          <w:sz w:val="24"/>
          <w:szCs w:val="24"/>
        </w:rPr>
      </w:pPr>
    </w:p>
    <w:p w14:paraId="5CBB5EBF" w14:textId="77777777" w:rsidR="006F7FA2" w:rsidRPr="009F3ADA" w:rsidRDefault="006F7FA2" w:rsidP="006F7FA2">
      <w:pPr>
        <w:rPr>
          <w:rFonts w:ascii="Times New Roman" w:hAnsi="Times New Roman" w:cs="Times New Roman"/>
          <w:sz w:val="24"/>
          <w:szCs w:val="24"/>
        </w:rPr>
      </w:pPr>
    </w:p>
    <w:p w14:paraId="6B5F2F09" w14:textId="77777777" w:rsidR="006F7FA2" w:rsidRPr="009F3ADA" w:rsidRDefault="006F7FA2" w:rsidP="006F7FA2">
      <w:pPr>
        <w:rPr>
          <w:rFonts w:ascii="Times New Roman" w:hAnsi="Times New Roman" w:cs="Times New Roman"/>
          <w:sz w:val="24"/>
          <w:szCs w:val="24"/>
        </w:rPr>
      </w:pPr>
    </w:p>
    <w:p w14:paraId="32622D81" w14:textId="77777777" w:rsidR="006F7FA2" w:rsidRPr="009F3ADA" w:rsidRDefault="006F7FA2" w:rsidP="006F7FA2">
      <w:pPr>
        <w:rPr>
          <w:rFonts w:ascii="Times New Roman" w:hAnsi="Times New Roman" w:cs="Times New Roman"/>
          <w:sz w:val="24"/>
          <w:szCs w:val="24"/>
        </w:rPr>
      </w:pPr>
    </w:p>
    <w:p w14:paraId="58D88320" w14:textId="77777777" w:rsidR="006F7FA2" w:rsidRPr="009F3ADA" w:rsidRDefault="006F7FA2" w:rsidP="006F7FA2">
      <w:pPr>
        <w:rPr>
          <w:rFonts w:ascii="Times New Roman" w:hAnsi="Times New Roman" w:cs="Times New Roman"/>
          <w:sz w:val="24"/>
          <w:szCs w:val="24"/>
        </w:rPr>
      </w:pPr>
    </w:p>
    <w:p w14:paraId="65CFBD81" w14:textId="77777777" w:rsidR="006F7FA2" w:rsidRPr="009F3ADA" w:rsidRDefault="006F7FA2" w:rsidP="006F7FA2">
      <w:pPr>
        <w:rPr>
          <w:rFonts w:ascii="Times New Roman" w:hAnsi="Times New Roman" w:cs="Times New Roman"/>
          <w:sz w:val="24"/>
          <w:szCs w:val="24"/>
        </w:rPr>
      </w:pPr>
    </w:p>
    <w:p w14:paraId="12E5B14D" w14:textId="77777777" w:rsidR="006F7FA2" w:rsidRPr="009F3ADA" w:rsidRDefault="006F7FA2" w:rsidP="006F7FA2">
      <w:pPr>
        <w:rPr>
          <w:rFonts w:ascii="Times New Roman" w:hAnsi="Times New Roman" w:cs="Times New Roman"/>
          <w:sz w:val="24"/>
          <w:szCs w:val="24"/>
        </w:rPr>
      </w:pPr>
    </w:p>
    <w:p w14:paraId="643818E0" w14:textId="77777777" w:rsidR="006F7FA2" w:rsidRPr="009F3ADA" w:rsidRDefault="006F7FA2" w:rsidP="006F7FA2">
      <w:pPr>
        <w:rPr>
          <w:rFonts w:ascii="Times New Roman" w:hAnsi="Times New Roman" w:cs="Times New Roman"/>
          <w:sz w:val="24"/>
          <w:szCs w:val="24"/>
        </w:rPr>
      </w:pPr>
    </w:p>
    <w:p w14:paraId="65E3899C" w14:textId="77777777" w:rsidR="006F7FA2" w:rsidRPr="009F3ADA" w:rsidRDefault="006F7FA2" w:rsidP="006F7FA2">
      <w:pPr>
        <w:rPr>
          <w:rFonts w:ascii="Times New Roman" w:hAnsi="Times New Roman" w:cs="Times New Roman"/>
          <w:sz w:val="24"/>
          <w:szCs w:val="24"/>
        </w:rPr>
      </w:pPr>
    </w:p>
    <w:p w14:paraId="0C54C362" w14:textId="77777777" w:rsidR="006F7FA2" w:rsidRPr="009F3ADA" w:rsidRDefault="006F7FA2" w:rsidP="006F7FA2">
      <w:pPr>
        <w:rPr>
          <w:rFonts w:ascii="Times New Roman" w:hAnsi="Times New Roman" w:cs="Times New Roman"/>
          <w:sz w:val="24"/>
          <w:szCs w:val="24"/>
        </w:rPr>
      </w:pPr>
    </w:p>
    <w:p w14:paraId="33479D8A" w14:textId="77777777" w:rsidR="006F7FA2" w:rsidRPr="009F3ADA" w:rsidRDefault="006F7FA2" w:rsidP="006F7FA2">
      <w:pPr>
        <w:rPr>
          <w:rFonts w:ascii="Times New Roman" w:hAnsi="Times New Roman" w:cs="Times New Roman"/>
          <w:sz w:val="24"/>
          <w:szCs w:val="24"/>
        </w:rPr>
      </w:pPr>
    </w:p>
    <w:p w14:paraId="4C142588" w14:textId="77777777" w:rsidR="006F7FA2" w:rsidRPr="009F3ADA" w:rsidRDefault="006F7FA2" w:rsidP="006F7FA2">
      <w:pPr>
        <w:rPr>
          <w:rFonts w:ascii="Times New Roman" w:hAnsi="Times New Roman" w:cs="Times New Roman"/>
          <w:sz w:val="24"/>
          <w:szCs w:val="24"/>
        </w:rPr>
      </w:pPr>
    </w:p>
    <w:p w14:paraId="1C1AF268" w14:textId="77777777" w:rsidR="006F7FA2" w:rsidRPr="009F3ADA" w:rsidRDefault="006F7FA2" w:rsidP="006F7FA2">
      <w:pPr>
        <w:rPr>
          <w:rFonts w:ascii="Times New Roman" w:hAnsi="Times New Roman" w:cs="Times New Roman"/>
          <w:sz w:val="24"/>
          <w:szCs w:val="24"/>
        </w:rPr>
      </w:pPr>
    </w:p>
    <w:p w14:paraId="2A6443E4" w14:textId="77777777" w:rsidR="006F7FA2" w:rsidRPr="009F3ADA" w:rsidRDefault="006F7FA2" w:rsidP="006F7FA2">
      <w:pPr>
        <w:rPr>
          <w:rFonts w:ascii="Times New Roman" w:hAnsi="Times New Roman" w:cs="Times New Roman"/>
          <w:sz w:val="24"/>
          <w:szCs w:val="24"/>
        </w:rPr>
      </w:pPr>
    </w:p>
    <w:p w14:paraId="2AD845C5" w14:textId="77777777" w:rsidR="006F7FA2" w:rsidRPr="009F3ADA" w:rsidRDefault="006F7FA2" w:rsidP="006F7FA2">
      <w:pPr>
        <w:rPr>
          <w:rFonts w:ascii="Times New Roman" w:hAnsi="Times New Roman" w:cs="Times New Roman"/>
          <w:sz w:val="24"/>
          <w:szCs w:val="24"/>
        </w:rPr>
        <w:sectPr w:rsidR="006F7FA2" w:rsidRPr="009F3ADA" w:rsidSect="00842063">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1134" w:left="1701" w:header="709" w:footer="709" w:gutter="0"/>
          <w:cols w:space="708"/>
          <w:docGrid w:linePitch="360"/>
        </w:sectPr>
      </w:pPr>
    </w:p>
    <w:p w14:paraId="060D42C1" w14:textId="79547E07" w:rsidR="001E2A95" w:rsidRPr="009F3ADA" w:rsidRDefault="00FE43B4" w:rsidP="001E2A95">
      <w:pPr>
        <w:spacing w:after="0" w:line="240" w:lineRule="auto"/>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b/>
          <w:bCs/>
          <w:sz w:val="24"/>
          <w:szCs w:val="24"/>
          <w:lang w:eastAsia="ro-MD"/>
        </w:rPr>
        <w:lastRenderedPageBreak/>
        <w:t>Formularul</w:t>
      </w:r>
      <w:r w:rsidR="001E2A95" w:rsidRPr="009F3ADA">
        <w:rPr>
          <w:rFonts w:ascii="Times New Roman" w:eastAsia="Times New Roman" w:hAnsi="Times New Roman" w:cs="Times New Roman"/>
          <w:b/>
          <w:bCs/>
          <w:sz w:val="24"/>
          <w:szCs w:val="24"/>
          <w:lang w:eastAsia="ro-MD"/>
        </w:rPr>
        <w:t xml:space="preserve"> raportului </w:t>
      </w:r>
    </w:p>
    <w:p w14:paraId="41D8FDAE" w14:textId="01549E24" w:rsidR="006057E8" w:rsidRPr="009F3ADA" w:rsidRDefault="006057E8" w:rsidP="001E2A9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o-MD"/>
        </w:rPr>
      </w:pPr>
      <w:r w:rsidRPr="009F3ADA">
        <w:rPr>
          <w:rFonts w:ascii="Times New Roman" w:eastAsia="Times New Roman" w:hAnsi="Times New Roman" w:cs="Times New Roman"/>
          <w:b/>
          <w:bCs/>
          <w:color w:val="000000"/>
          <w:sz w:val="24"/>
          <w:szCs w:val="24"/>
          <w:lang w:eastAsia="ro-MD"/>
        </w:rPr>
        <w:t>C 34.02 RISCUL DE CREDIT AL CONTRAPĂRȚII: EXPUNERI LA CCR ÎN FUNCȚIE DE ABORDARE (CCR 2)</w:t>
      </w:r>
    </w:p>
    <w:tbl>
      <w:tblPr>
        <w:tblStyle w:val="TableGrid"/>
        <w:tblpPr w:leftFromText="180" w:rightFromText="180" w:vertAnchor="text" w:horzAnchor="margin" w:tblpXSpec="right" w:tblpY="-56"/>
        <w:tblW w:w="0" w:type="auto"/>
        <w:tblLook w:val="04A0" w:firstRow="1" w:lastRow="0" w:firstColumn="1" w:lastColumn="0" w:noHBand="0" w:noVBand="1"/>
      </w:tblPr>
      <w:tblGrid>
        <w:gridCol w:w="2897"/>
      </w:tblGrid>
      <w:tr w:rsidR="00526AD3" w:rsidRPr="009F3ADA" w14:paraId="488E780F" w14:textId="77777777" w:rsidTr="00526AD3">
        <w:trPr>
          <w:trHeight w:val="360"/>
        </w:trPr>
        <w:tc>
          <w:tcPr>
            <w:tcW w:w="2897" w:type="dxa"/>
          </w:tcPr>
          <w:p w14:paraId="10452AFA" w14:textId="77777777" w:rsidR="00526AD3" w:rsidRPr="009F3ADA" w:rsidRDefault="00526AD3" w:rsidP="00526AD3">
            <w:pPr>
              <w:spacing w:before="100" w:beforeAutospacing="1" w:after="100" w:afterAutospacing="1"/>
              <w:rPr>
                <w:rFonts w:ascii="Times New Roman" w:eastAsia="Times New Roman" w:hAnsi="Times New Roman" w:cs="Times New Roman"/>
                <w:color w:val="000000"/>
                <w:sz w:val="24"/>
                <w:szCs w:val="24"/>
                <w:lang w:eastAsia="ro-MD"/>
              </w:rPr>
            </w:pPr>
          </w:p>
        </w:tc>
      </w:tr>
    </w:tbl>
    <w:p w14:paraId="1CBE5CC7" w14:textId="77777777" w:rsidR="00526AD3" w:rsidRPr="009F3ADA" w:rsidRDefault="006057E8" w:rsidP="00526AD3">
      <w:pPr>
        <w:spacing w:before="100" w:beforeAutospacing="1" w:after="100" w:afterAutospacing="1" w:line="240" w:lineRule="auto"/>
        <w:jc w:val="right"/>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t>Expuneri</w:t>
      </w:r>
      <w:r w:rsidR="00526AD3" w:rsidRPr="009F3ADA">
        <w:rPr>
          <w:rFonts w:ascii="Times New Roman" w:eastAsia="Times New Roman" w:hAnsi="Times New Roman" w:cs="Times New Roman"/>
          <w:color w:val="000000"/>
          <w:sz w:val="24"/>
          <w:szCs w:val="24"/>
          <w:lang w:eastAsia="ro-MD"/>
        </w:rPr>
        <w:t xml:space="preserve">  </w:t>
      </w:r>
    </w:p>
    <w:tbl>
      <w:tblPr>
        <w:tblStyle w:val="TableGrid"/>
        <w:tblW w:w="14876" w:type="dxa"/>
        <w:tblLayout w:type="fixed"/>
        <w:tblLook w:val="04A0" w:firstRow="1" w:lastRow="0" w:firstColumn="1" w:lastColumn="0" w:noHBand="0" w:noVBand="1"/>
      </w:tblPr>
      <w:tblGrid>
        <w:gridCol w:w="701"/>
        <w:gridCol w:w="997"/>
        <w:gridCol w:w="490"/>
        <w:gridCol w:w="490"/>
        <w:gridCol w:w="490"/>
        <w:gridCol w:w="490"/>
        <w:gridCol w:w="490"/>
        <w:gridCol w:w="490"/>
        <w:gridCol w:w="490"/>
        <w:gridCol w:w="490"/>
        <w:gridCol w:w="490"/>
        <w:gridCol w:w="490"/>
        <w:gridCol w:w="490"/>
        <w:gridCol w:w="490"/>
        <w:gridCol w:w="490"/>
        <w:gridCol w:w="490"/>
        <w:gridCol w:w="509"/>
        <w:gridCol w:w="471"/>
        <w:gridCol w:w="519"/>
        <w:gridCol w:w="992"/>
        <w:gridCol w:w="1136"/>
        <w:gridCol w:w="490"/>
        <w:gridCol w:w="1256"/>
        <w:gridCol w:w="945"/>
      </w:tblGrid>
      <w:tr w:rsidR="006057E8" w:rsidRPr="009F3ADA" w14:paraId="4DD65E54" w14:textId="77777777" w:rsidTr="00EE4600">
        <w:tc>
          <w:tcPr>
            <w:tcW w:w="1698" w:type="dxa"/>
            <w:gridSpan w:val="2"/>
            <w:vMerge w:val="restart"/>
            <w:textDirection w:val="btLr"/>
            <w:hideMark/>
          </w:tcPr>
          <w:p w14:paraId="6993D65D" w14:textId="51DD0CE2"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8"/>
                <w:szCs w:val="18"/>
                <w:lang w:eastAsia="ro-MD"/>
              </w:rPr>
            </w:pPr>
            <w:bookmarkStart w:id="13" w:name="_Hlk195708947"/>
            <w:r w:rsidRPr="009F3ADA">
              <w:rPr>
                <w:rFonts w:ascii="Times New Roman" w:eastAsia="Times New Roman" w:hAnsi="Times New Roman" w:cs="Times New Roman"/>
                <w:b/>
                <w:bCs/>
                <w:color w:val="000000"/>
                <w:sz w:val="18"/>
                <w:szCs w:val="18"/>
                <w:lang w:eastAsia="ro-MD"/>
              </w:rPr>
              <w:t>ABORDARE</w:t>
            </w:r>
          </w:p>
        </w:tc>
        <w:tc>
          <w:tcPr>
            <w:tcW w:w="490" w:type="dxa"/>
            <w:vMerge w:val="restart"/>
            <w:textDirection w:val="btLr"/>
            <w:hideMark/>
          </w:tcPr>
          <w:p w14:paraId="6793ADE9" w14:textId="6F9469F1"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NUMĂRUL DE CONTRAPĂRȚI</w:t>
            </w:r>
          </w:p>
        </w:tc>
        <w:tc>
          <w:tcPr>
            <w:tcW w:w="490" w:type="dxa"/>
            <w:vMerge w:val="restart"/>
            <w:textDirection w:val="btLr"/>
            <w:hideMark/>
          </w:tcPr>
          <w:p w14:paraId="2783B4B7" w14:textId="46CB80EE"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NUMĂRUL DE TRANZACȚII</w:t>
            </w:r>
          </w:p>
        </w:tc>
        <w:tc>
          <w:tcPr>
            <w:tcW w:w="490" w:type="dxa"/>
            <w:vMerge w:val="restart"/>
            <w:textDirection w:val="btLr"/>
            <w:hideMark/>
          </w:tcPr>
          <w:p w14:paraId="02B887A2" w14:textId="04205CA2"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CUANTUMURI NOȚIONALE</w:t>
            </w:r>
          </w:p>
        </w:tc>
        <w:tc>
          <w:tcPr>
            <w:tcW w:w="490" w:type="dxa"/>
            <w:vMerge w:val="restart"/>
            <w:textDirection w:val="btLr"/>
            <w:hideMark/>
          </w:tcPr>
          <w:p w14:paraId="7C37F956" w14:textId="3A239440"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VALOAREA DE PIAȚĂ CURENTĂ (CMV), POZITIVĂ</w:t>
            </w:r>
          </w:p>
        </w:tc>
        <w:tc>
          <w:tcPr>
            <w:tcW w:w="490" w:type="dxa"/>
            <w:vMerge w:val="restart"/>
            <w:textDirection w:val="btLr"/>
            <w:hideMark/>
          </w:tcPr>
          <w:p w14:paraId="0A654DE3" w14:textId="199B8E49"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VALOAREA DE PIAȚĂ CURENTĂ (CMV), NEGATIVĂ</w:t>
            </w:r>
          </w:p>
        </w:tc>
        <w:tc>
          <w:tcPr>
            <w:tcW w:w="490" w:type="dxa"/>
            <w:vMerge w:val="restart"/>
            <w:textDirection w:val="btLr"/>
            <w:hideMark/>
          </w:tcPr>
          <w:p w14:paraId="6B69A865" w14:textId="218E9C94"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MARJA DE VARIAȚIE (VM), PRIMITĂ</w:t>
            </w:r>
          </w:p>
        </w:tc>
        <w:tc>
          <w:tcPr>
            <w:tcW w:w="490" w:type="dxa"/>
            <w:vMerge w:val="restart"/>
            <w:textDirection w:val="btLr"/>
            <w:hideMark/>
          </w:tcPr>
          <w:p w14:paraId="4F6E2DF7" w14:textId="2DC76D1B"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MARJA DE VARIAȚIE (VM), FURNIZATĂ</w:t>
            </w:r>
          </w:p>
        </w:tc>
        <w:tc>
          <w:tcPr>
            <w:tcW w:w="490" w:type="dxa"/>
            <w:vMerge w:val="restart"/>
            <w:textDirection w:val="btLr"/>
            <w:hideMark/>
          </w:tcPr>
          <w:p w14:paraId="50E63F8F" w14:textId="70888CAB"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CUANTUMUL INDEPENDENT NET AL GARANȚIILOR REALE (NICA), PRIMIT</w:t>
            </w:r>
          </w:p>
        </w:tc>
        <w:tc>
          <w:tcPr>
            <w:tcW w:w="490" w:type="dxa"/>
            <w:vMerge w:val="restart"/>
            <w:textDirection w:val="btLr"/>
            <w:hideMark/>
          </w:tcPr>
          <w:p w14:paraId="2C214131" w14:textId="4DB64479"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CUANTUMUL INDEPENDENT NET AL GARANȚIILOR REALE (NICA), FURNIZAT</w:t>
            </w:r>
          </w:p>
        </w:tc>
        <w:tc>
          <w:tcPr>
            <w:tcW w:w="490" w:type="dxa"/>
            <w:vMerge w:val="restart"/>
            <w:textDirection w:val="btLr"/>
            <w:hideMark/>
          </w:tcPr>
          <w:p w14:paraId="12CED264" w14:textId="61E0B58B"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COSTUL DE ÎNLOCUIRE (RC)</w:t>
            </w:r>
          </w:p>
        </w:tc>
        <w:tc>
          <w:tcPr>
            <w:tcW w:w="490" w:type="dxa"/>
            <w:vMerge w:val="restart"/>
            <w:textDirection w:val="btLr"/>
            <w:hideMark/>
          </w:tcPr>
          <w:p w14:paraId="2369F4C9" w14:textId="42698EB2"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EXPUNEREA VIITOARE POTENȚIALĂ (PFE)</w:t>
            </w:r>
          </w:p>
        </w:tc>
        <w:tc>
          <w:tcPr>
            <w:tcW w:w="490" w:type="dxa"/>
            <w:vMerge w:val="restart"/>
            <w:textDirection w:val="btLr"/>
            <w:hideMark/>
          </w:tcPr>
          <w:p w14:paraId="32E08E2C" w14:textId="5B52AFD1"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EXPUNEREA CURENTĂ</w:t>
            </w:r>
          </w:p>
        </w:tc>
        <w:tc>
          <w:tcPr>
            <w:tcW w:w="490" w:type="dxa"/>
            <w:vMerge w:val="restart"/>
            <w:textDirection w:val="btLr"/>
            <w:hideMark/>
          </w:tcPr>
          <w:p w14:paraId="6BBB0EF0" w14:textId="5CEC2660"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EEPE</w:t>
            </w:r>
          </w:p>
        </w:tc>
        <w:tc>
          <w:tcPr>
            <w:tcW w:w="490" w:type="dxa"/>
            <w:vMerge w:val="restart"/>
            <w:textDirection w:val="btLr"/>
            <w:hideMark/>
          </w:tcPr>
          <w:p w14:paraId="02390F0B" w14:textId="2A7A9178"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ALFA UTILIZAT PENTRU CALCULAREA VALORII EXPUNERII REGLEMENTATE</w:t>
            </w:r>
          </w:p>
        </w:tc>
        <w:tc>
          <w:tcPr>
            <w:tcW w:w="509" w:type="dxa"/>
            <w:vMerge w:val="restart"/>
            <w:textDirection w:val="btLr"/>
            <w:hideMark/>
          </w:tcPr>
          <w:p w14:paraId="6202C43A" w14:textId="0AAB8260"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VALOAREA EXPUNERII ÎNAINTE DE APLICAREA TEHNICILOR CRM</w:t>
            </w:r>
          </w:p>
        </w:tc>
        <w:tc>
          <w:tcPr>
            <w:tcW w:w="471" w:type="dxa"/>
            <w:vMerge w:val="restart"/>
            <w:textDirection w:val="btLr"/>
            <w:hideMark/>
          </w:tcPr>
          <w:p w14:paraId="1F2EDDDC" w14:textId="79AF9DA5" w:rsidR="006057E8" w:rsidRPr="009F3ADA" w:rsidRDefault="005A76C6" w:rsidP="00DF5174">
            <w:pPr>
              <w:spacing w:before="100" w:beforeAutospacing="1" w:after="100" w:afterAutospacing="1"/>
              <w:ind w:left="113" w:right="113"/>
              <w:rPr>
                <w:rFonts w:ascii="Times New Roman" w:eastAsia="Times New Roman" w:hAnsi="Times New Roman" w:cs="Times New Roman"/>
                <w:b/>
                <w:bCs/>
                <w:color w:val="000000"/>
                <w:sz w:val="12"/>
                <w:szCs w:val="12"/>
                <w:lang w:eastAsia="ro-MD"/>
              </w:rPr>
            </w:pPr>
            <w:r w:rsidRPr="009F3ADA">
              <w:rPr>
                <w:rFonts w:ascii="Times New Roman" w:eastAsia="Times New Roman" w:hAnsi="Times New Roman" w:cs="Times New Roman"/>
                <w:b/>
                <w:bCs/>
                <w:color w:val="000000"/>
                <w:sz w:val="12"/>
                <w:szCs w:val="12"/>
                <w:lang w:eastAsia="ro-MD"/>
              </w:rPr>
              <w:t>VALOAREA EXPUNERII DUPĂ APLICAREA TEHNICILOR CRM</w:t>
            </w:r>
          </w:p>
        </w:tc>
        <w:tc>
          <w:tcPr>
            <w:tcW w:w="2647" w:type="dxa"/>
            <w:gridSpan w:val="3"/>
            <w:hideMark/>
          </w:tcPr>
          <w:p w14:paraId="640203E8" w14:textId="651A409A" w:rsidR="006057E8" w:rsidRPr="009F3ADA" w:rsidRDefault="005A76C6"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VALOAREA EXPUNERII</w:t>
            </w:r>
          </w:p>
        </w:tc>
        <w:tc>
          <w:tcPr>
            <w:tcW w:w="2691" w:type="dxa"/>
            <w:gridSpan w:val="3"/>
            <w:hideMark/>
          </w:tcPr>
          <w:p w14:paraId="3C5CC3F5" w14:textId="520849BF" w:rsidR="006057E8" w:rsidRPr="009F3ADA" w:rsidRDefault="005A76C6"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CUANTUMURILE PONDERATE LA RISC ALE EXPUNERII</w:t>
            </w:r>
          </w:p>
        </w:tc>
      </w:tr>
      <w:tr w:rsidR="006057E8" w:rsidRPr="009F3ADA" w14:paraId="45E220D8" w14:textId="77777777" w:rsidTr="00EE4600">
        <w:trPr>
          <w:trHeight w:val="1134"/>
        </w:trPr>
        <w:tc>
          <w:tcPr>
            <w:tcW w:w="1698" w:type="dxa"/>
            <w:gridSpan w:val="2"/>
            <w:vMerge/>
            <w:hideMark/>
          </w:tcPr>
          <w:p w14:paraId="33ED8B91"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3B10055B"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70AA3911"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4D5C262E"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633186DB"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7E0F58B8"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2DCB90E4"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75825304"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23B7B8A4"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5A332C8A"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7840967A"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60D9B92F"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1BA22B73"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3769996B"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vMerge/>
            <w:hideMark/>
          </w:tcPr>
          <w:p w14:paraId="692F7203"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509" w:type="dxa"/>
            <w:vMerge/>
            <w:hideMark/>
          </w:tcPr>
          <w:p w14:paraId="5C35DC9E"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71" w:type="dxa"/>
            <w:vMerge/>
            <w:hideMark/>
          </w:tcPr>
          <w:p w14:paraId="195D7916"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519" w:type="dxa"/>
            <w:hideMark/>
          </w:tcPr>
          <w:p w14:paraId="31FAF2BF" w14:textId="21208A9D" w:rsidR="006057E8" w:rsidRPr="009F3ADA" w:rsidRDefault="005A76C6"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 </w:t>
            </w:r>
          </w:p>
        </w:tc>
        <w:tc>
          <w:tcPr>
            <w:tcW w:w="992" w:type="dxa"/>
            <w:hideMark/>
          </w:tcPr>
          <w:p w14:paraId="033F543E" w14:textId="2768ADC6" w:rsidR="006057E8" w:rsidRPr="009F3ADA" w:rsidRDefault="005A76C6" w:rsidP="006057E8">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POZIȚII TRATATE ÎN CADRUL ABORDĂRII STANDARDIZATE CR</w:t>
            </w:r>
          </w:p>
        </w:tc>
        <w:tc>
          <w:tcPr>
            <w:tcW w:w="1136" w:type="dxa"/>
            <w:hideMark/>
          </w:tcPr>
          <w:p w14:paraId="2F8F939C" w14:textId="6281046A" w:rsidR="006057E8" w:rsidRPr="009F3ADA" w:rsidRDefault="005A76C6" w:rsidP="006057E8">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POZIȚII TRATATE ÎN CADRUL ABORDĂRII CR IRB</w:t>
            </w:r>
          </w:p>
        </w:tc>
        <w:tc>
          <w:tcPr>
            <w:tcW w:w="490" w:type="dxa"/>
            <w:hideMark/>
          </w:tcPr>
          <w:p w14:paraId="321E8D49" w14:textId="4C64CFFC" w:rsidR="006057E8" w:rsidRPr="009F3ADA" w:rsidRDefault="005A76C6" w:rsidP="006057E8">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 </w:t>
            </w:r>
          </w:p>
        </w:tc>
        <w:tc>
          <w:tcPr>
            <w:tcW w:w="1256" w:type="dxa"/>
            <w:hideMark/>
          </w:tcPr>
          <w:p w14:paraId="591EEA2E" w14:textId="3D634799" w:rsidR="006057E8" w:rsidRPr="009F3ADA" w:rsidRDefault="005A76C6" w:rsidP="006057E8">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POZIȚII TRATATE ÎN CADRUL ABORDĂRII STANDARDIZATE CR</w:t>
            </w:r>
          </w:p>
        </w:tc>
        <w:tc>
          <w:tcPr>
            <w:tcW w:w="945" w:type="dxa"/>
            <w:hideMark/>
          </w:tcPr>
          <w:p w14:paraId="120ADD8D" w14:textId="13804D9C" w:rsidR="006057E8" w:rsidRPr="009F3ADA" w:rsidRDefault="005A76C6" w:rsidP="006057E8">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POZIȚII TRATATE ÎN CADRUL ABORDĂRII CR IRB</w:t>
            </w:r>
          </w:p>
        </w:tc>
      </w:tr>
      <w:tr w:rsidR="006057E8" w:rsidRPr="009F3ADA" w14:paraId="1A7159C1" w14:textId="77777777" w:rsidTr="00EE4600">
        <w:tc>
          <w:tcPr>
            <w:tcW w:w="1698" w:type="dxa"/>
            <w:gridSpan w:val="2"/>
            <w:vMerge/>
            <w:hideMark/>
          </w:tcPr>
          <w:p w14:paraId="0F12E845" w14:textId="77777777" w:rsidR="006057E8" w:rsidRPr="009F3ADA" w:rsidRDefault="006057E8" w:rsidP="00DF5174">
            <w:pPr>
              <w:rPr>
                <w:rFonts w:ascii="Times New Roman" w:eastAsia="Times New Roman" w:hAnsi="Times New Roman" w:cs="Times New Roman"/>
                <w:b/>
                <w:bCs/>
                <w:color w:val="000000"/>
                <w:sz w:val="18"/>
                <w:szCs w:val="18"/>
                <w:lang w:eastAsia="ro-MD"/>
              </w:rPr>
            </w:pPr>
          </w:p>
        </w:tc>
        <w:tc>
          <w:tcPr>
            <w:tcW w:w="490" w:type="dxa"/>
            <w:hideMark/>
          </w:tcPr>
          <w:p w14:paraId="636564D3"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0010</w:t>
            </w:r>
          </w:p>
        </w:tc>
        <w:tc>
          <w:tcPr>
            <w:tcW w:w="490" w:type="dxa"/>
            <w:hideMark/>
          </w:tcPr>
          <w:p w14:paraId="43D9D09D"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0020</w:t>
            </w:r>
          </w:p>
        </w:tc>
        <w:tc>
          <w:tcPr>
            <w:tcW w:w="490" w:type="dxa"/>
            <w:hideMark/>
          </w:tcPr>
          <w:p w14:paraId="1624E856"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0030</w:t>
            </w:r>
          </w:p>
        </w:tc>
        <w:tc>
          <w:tcPr>
            <w:tcW w:w="490" w:type="dxa"/>
            <w:hideMark/>
          </w:tcPr>
          <w:p w14:paraId="20F1E1CB"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0040</w:t>
            </w:r>
          </w:p>
        </w:tc>
        <w:tc>
          <w:tcPr>
            <w:tcW w:w="490" w:type="dxa"/>
            <w:hideMark/>
          </w:tcPr>
          <w:p w14:paraId="7A6FE536"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0050</w:t>
            </w:r>
          </w:p>
        </w:tc>
        <w:tc>
          <w:tcPr>
            <w:tcW w:w="490" w:type="dxa"/>
            <w:hideMark/>
          </w:tcPr>
          <w:p w14:paraId="31B938DC"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0060</w:t>
            </w:r>
          </w:p>
        </w:tc>
        <w:tc>
          <w:tcPr>
            <w:tcW w:w="490" w:type="dxa"/>
            <w:hideMark/>
          </w:tcPr>
          <w:p w14:paraId="29C72DA9"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0070</w:t>
            </w:r>
          </w:p>
        </w:tc>
        <w:tc>
          <w:tcPr>
            <w:tcW w:w="490" w:type="dxa"/>
            <w:hideMark/>
          </w:tcPr>
          <w:p w14:paraId="592F68C9"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0080</w:t>
            </w:r>
          </w:p>
        </w:tc>
        <w:tc>
          <w:tcPr>
            <w:tcW w:w="490" w:type="dxa"/>
            <w:hideMark/>
          </w:tcPr>
          <w:p w14:paraId="0AD3D04C"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0090</w:t>
            </w:r>
          </w:p>
        </w:tc>
        <w:tc>
          <w:tcPr>
            <w:tcW w:w="490" w:type="dxa"/>
            <w:hideMark/>
          </w:tcPr>
          <w:p w14:paraId="7AEAAEF3"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0100</w:t>
            </w:r>
          </w:p>
        </w:tc>
        <w:tc>
          <w:tcPr>
            <w:tcW w:w="490" w:type="dxa"/>
            <w:hideMark/>
          </w:tcPr>
          <w:p w14:paraId="18469B16"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0110</w:t>
            </w:r>
          </w:p>
        </w:tc>
        <w:tc>
          <w:tcPr>
            <w:tcW w:w="490" w:type="dxa"/>
            <w:hideMark/>
          </w:tcPr>
          <w:p w14:paraId="67B869BD"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0120</w:t>
            </w:r>
          </w:p>
        </w:tc>
        <w:tc>
          <w:tcPr>
            <w:tcW w:w="490" w:type="dxa"/>
            <w:hideMark/>
          </w:tcPr>
          <w:p w14:paraId="28BD7431"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0130</w:t>
            </w:r>
          </w:p>
        </w:tc>
        <w:tc>
          <w:tcPr>
            <w:tcW w:w="490" w:type="dxa"/>
            <w:hideMark/>
          </w:tcPr>
          <w:p w14:paraId="071F514C"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0140</w:t>
            </w:r>
          </w:p>
        </w:tc>
        <w:tc>
          <w:tcPr>
            <w:tcW w:w="509" w:type="dxa"/>
            <w:hideMark/>
          </w:tcPr>
          <w:p w14:paraId="577E8DC0"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0150</w:t>
            </w:r>
          </w:p>
        </w:tc>
        <w:tc>
          <w:tcPr>
            <w:tcW w:w="471" w:type="dxa"/>
            <w:hideMark/>
          </w:tcPr>
          <w:p w14:paraId="2D10E0FC"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0160</w:t>
            </w:r>
          </w:p>
        </w:tc>
        <w:tc>
          <w:tcPr>
            <w:tcW w:w="519" w:type="dxa"/>
            <w:hideMark/>
          </w:tcPr>
          <w:p w14:paraId="7B93DC0A"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0170</w:t>
            </w:r>
          </w:p>
        </w:tc>
        <w:tc>
          <w:tcPr>
            <w:tcW w:w="992" w:type="dxa"/>
            <w:hideMark/>
          </w:tcPr>
          <w:p w14:paraId="726D6A2F"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0180</w:t>
            </w:r>
          </w:p>
        </w:tc>
        <w:tc>
          <w:tcPr>
            <w:tcW w:w="1136" w:type="dxa"/>
            <w:hideMark/>
          </w:tcPr>
          <w:p w14:paraId="6A8F8555"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0190</w:t>
            </w:r>
          </w:p>
        </w:tc>
        <w:tc>
          <w:tcPr>
            <w:tcW w:w="490" w:type="dxa"/>
            <w:hideMark/>
          </w:tcPr>
          <w:p w14:paraId="1EFAFC40"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0200</w:t>
            </w:r>
          </w:p>
        </w:tc>
        <w:tc>
          <w:tcPr>
            <w:tcW w:w="1256" w:type="dxa"/>
            <w:hideMark/>
          </w:tcPr>
          <w:p w14:paraId="1DABEC15"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0210</w:t>
            </w:r>
          </w:p>
        </w:tc>
        <w:tc>
          <w:tcPr>
            <w:tcW w:w="945" w:type="dxa"/>
            <w:hideMark/>
          </w:tcPr>
          <w:p w14:paraId="678CAA62" w14:textId="77777777" w:rsidR="006057E8" w:rsidRPr="009F3ADA" w:rsidRDefault="006057E8" w:rsidP="00DF5174">
            <w:pPr>
              <w:spacing w:before="100" w:beforeAutospacing="1" w:after="100" w:afterAutospacing="1"/>
              <w:rPr>
                <w:rFonts w:ascii="Times New Roman" w:eastAsia="Times New Roman" w:hAnsi="Times New Roman" w:cs="Times New Roman"/>
                <w:b/>
                <w:bCs/>
                <w:color w:val="000000"/>
                <w:sz w:val="18"/>
                <w:szCs w:val="18"/>
                <w:lang w:eastAsia="ro-MD"/>
              </w:rPr>
            </w:pPr>
            <w:r w:rsidRPr="009F3ADA">
              <w:rPr>
                <w:rFonts w:ascii="Times New Roman" w:eastAsia="Times New Roman" w:hAnsi="Times New Roman" w:cs="Times New Roman"/>
                <w:b/>
                <w:bCs/>
                <w:color w:val="000000"/>
                <w:sz w:val="18"/>
                <w:szCs w:val="18"/>
                <w:lang w:eastAsia="ro-MD"/>
              </w:rPr>
              <w:t>0220</w:t>
            </w:r>
          </w:p>
        </w:tc>
      </w:tr>
      <w:tr w:rsidR="00B70E1A" w:rsidRPr="009F3ADA" w14:paraId="273574B6" w14:textId="77777777" w:rsidTr="00EE4600">
        <w:tc>
          <w:tcPr>
            <w:tcW w:w="701" w:type="dxa"/>
            <w:hideMark/>
          </w:tcPr>
          <w:p w14:paraId="098D0706"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0010</w:t>
            </w:r>
          </w:p>
        </w:tc>
        <w:tc>
          <w:tcPr>
            <w:tcW w:w="997" w:type="dxa"/>
            <w:hideMark/>
          </w:tcPr>
          <w:p w14:paraId="025336B8"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Metoda expunerii inițiale (pentru instrumente financiare derivate)</w:t>
            </w:r>
          </w:p>
        </w:tc>
        <w:tc>
          <w:tcPr>
            <w:tcW w:w="490" w:type="dxa"/>
            <w:hideMark/>
          </w:tcPr>
          <w:p w14:paraId="4D66D389" w14:textId="7BBCB0A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CCE0C6E" w14:textId="128D7CD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7BFCAC1" w14:textId="58FAA05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63D20C14" w14:textId="21E6F75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C263D6D" w14:textId="34AB792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20F3020" w14:textId="0FD8C37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BB617F1" w14:textId="09D0316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3C123A2" w14:textId="13052A7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380E8B4" w14:textId="3CD15CA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36BF59F" w14:textId="7527353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FBA7907" w14:textId="7C31346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FC1D817" w14:textId="2A01B02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A8B95F7" w14:textId="1DD0145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804F3A0" w14:textId="7777777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1.4</w:t>
            </w:r>
          </w:p>
        </w:tc>
        <w:tc>
          <w:tcPr>
            <w:tcW w:w="509" w:type="dxa"/>
            <w:hideMark/>
          </w:tcPr>
          <w:p w14:paraId="71034B97" w14:textId="6380F91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2677D379" w14:textId="300B831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5DF886EC" w14:textId="5CCB8A7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225CEDE4" w14:textId="078BA41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621F1BB8" w14:textId="51FE3AE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E773E27" w14:textId="5D5BCF9B"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1F9855FB" w14:textId="2638674B"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322742AB" w14:textId="691D1FC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28EEFB22" w14:textId="77777777" w:rsidTr="00EE4600">
        <w:tc>
          <w:tcPr>
            <w:tcW w:w="701" w:type="dxa"/>
            <w:hideMark/>
          </w:tcPr>
          <w:p w14:paraId="48CB34BF"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0020</w:t>
            </w:r>
          </w:p>
        </w:tc>
        <w:tc>
          <w:tcPr>
            <w:tcW w:w="997" w:type="dxa"/>
            <w:hideMark/>
          </w:tcPr>
          <w:p w14:paraId="073FD8B0" w14:textId="5C412BD2" w:rsidR="0015385F" w:rsidRPr="009F3ADA" w:rsidRDefault="0015385F" w:rsidP="0015385F">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xml:space="preserve">Abordarea standardizată simplificată pentru riscul de credit al </w:t>
            </w:r>
            <w:proofErr w:type="spellStart"/>
            <w:r w:rsidRPr="009F3ADA">
              <w:rPr>
                <w:rFonts w:ascii="Times New Roman" w:eastAsia="Times New Roman" w:hAnsi="Times New Roman" w:cs="Times New Roman"/>
                <w:color w:val="000000"/>
                <w:sz w:val="18"/>
                <w:szCs w:val="18"/>
                <w:lang w:eastAsia="ro-MD"/>
              </w:rPr>
              <w:t>contrapărții</w:t>
            </w:r>
            <w:proofErr w:type="spellEnd"/>
            <w:r w:rsidRPr="009F3ADA">
              <w:rPr>
                <w:rFonts w:ascii="Times New Roman" w:eastAsia="Times New Roman" w:hAnsi="Times New Roman" w:cs="Times New Roman"/>
                <w:color w:val="000000"/>
                <w:sz w:val="18"/>
                <w:szCs w:val="18"/>
                <w:lang w:eastAsia="ro-MD"/>
              </w:rPr>
              <w:t xml:space="preserve"> (SA-CCR simplificată pentru </w:t>
            </w:r>
            <w:r w:rsidRPr="009F3ADA">
              <w:rPr>
                <w:rFonts w:ascii="Times New Roman" w:eastAsia="Times New Roman" w:hAnsi="Times New Roman" w:cs="Times New Roman"/>
                <w:color w:val="000000"/>
                <w:sz w:val="18"/>
                <w:szCs w:val="18"/>
                <w:lang w:eastAsia="ro-MD"/>
              </w:rPr>
              <w:lastRenderedPageBreak/>
              <w:t>instrumente financiare derivate)</w:t>
            </w:r>
          </w:p>
          <w:p w14:paraId="36B359EE" w14:textId="7EC92FE8"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p>
        </w:tc>
        <w:tc>
          <w:tcPr>
            <w:tcW w:w="490" w:type="dxa"/>
            <w:hideMark/>
          </w:tcPr>
          <w:p w14:paraId="198DD16F" w14:textId="3A346B3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lastRenderedPageBreak/>
              <w:t>X</w:t>
            </w:r>
          </w:p>
        </w:tc>
        <w:tc>
          <w:tcPr>
            <w:tcW w:w="490" w:type="dxa"/>
            <w:hideMark/>
          </w:tcPr>
          <w:p w14:paraId="70A85E39" w14:textId="0010B65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63394D1" w14:textId="1C2F980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3E0BCD1" w14:textId="68E7DA0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FB85BD1" w14:textId="21A4EAD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EA73C1D" w14:textId="4ED2ADF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0BA008C" w14:textId="0369F2B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6AB3D6CB" w14:textId="12904F1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10442515" w14:textId="4536D03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14F495C" w14:textId="62DEA3E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9BE00C5" w14:textId="12437BB0"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0930882C" w14:textId="1B9F0BF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5E4A42D" w14:textId="523557D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F7B21EC" w14:textId="7777777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1.4</w:t>
            </w:r>
          </w:p>
        </w:tc>
        <w:tc>
          <w:tcPr>
            <w:tcW w:w="509" w:type="dxa"/>
            <w:hideMark/>
          </w:tcPr>
          <w:p w14:paraId="41D130D4" w14:textId="65E0C59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114B038B" w14:textId="44B04EE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05D3ACC3" w14:textId="43CF03B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24977056" w14:textId="77CE9FA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60BD4F42" w14:textId="2125AA0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99683C5" w14:textId="355B6D9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7E4A12E0" w14:textId="0F87418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7AC3144E" w14:textId="1D58928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4D240BDB" w14:textId="77777777" w:rsidTr="00EE4600">
        <w:tc>
          <w:tcPr>
            <w:tcW w:w="701" w:type="dxa"/>
            <w:hideMark/>
          </w:tcPr>
          <w:p w14:paraId="7325187F"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0030</w:t>
            </w:r>
          </w:p>
        </w:tc>
        <w:tc>
          <w:tcPr>
            <w:tcW w:w="997" w:type="dxa"/>
            <w:hideMark/>
          </w:tcPr>
          <w:p w14:paraId="7129B579" w14:textId="03834A2B" w:rsidR="00B70E1A" w:rsidRPr="009F3ADA" w:rsidRDefault="0075558C"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A</w:t>
            </w:r>
            <w:r w:rsidR="00BF27DE" w:rsidRPr="009F3ADA">
              <w:rPr>
                <w:rFonts w:ascii="Times New Roman" w:eastAsia="Times New Roman" w:hAnsi="Times New Roman" w:cs="Times New Roman"/>
                <w:color w:val="000000"/>
                <w:sz w:val="18"/>
                <w:szCs w:val="18"/>
                <w:lang w:eastAsia="ro-MD"/>
              </w:rPr>
              <w:t xml:space="preserve">bordarea standardizată pentru riscul de credit al </w:t>
            </w:r>
            <w:proofErr w:type="spellStart"/>
            <w:r w:rsidR="00BF27DE" w:rsidRPr="009F3ADA">
              <w:rPr>
                <w:rFonts w:ascii="Times New Roman" w:eastAsia="Times New Roman" w:hAnsi="Times New Roman" w:cs="Times New Roman"/>
                <w:color w:val="000000"/>
                <w:sz w:val="18"/>
                <w:szCs w:val="18"/>
                <w:lang w:eastAsia="ro-MD"/>
              </w:rPr>
              <w:t>contrapărții</w:t>
            </w:r>
            <w:proofErr w:type="spellEnd"/>
            <w:r w:rsidR="00BF27DE" w:rsidRPr="009F3ADA">
              <w:rPr>
                <w:rFonts w:ascii="Times New Roman" w:eastAsia="Times New Roman" w:hAnsi="Times New Roman" w:cs="Times New Roman"/>
                <w:color w:val="000000"/>
                <w:sz w:val="18"/>
                <w:szCs w:val="18"/>
                <w:lang w:eastAsia="ro-MD"/>
              </w:rPr>
              <w:t xml:space="preserve"> (SA-CCR pentru instrumente financiare derivate)</w:t>
            </w:r>
          </w:p>
        </w:tc>
        <w:tc>
          <w:tcPr>
            <w:tcW w:w="490" w:type="dxa"/>
            <w:hideMark/>
          </w:tcPr>
          <w:p w14:paraId="6823CE2D" w14:textId="080242F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0A991DA" w14:textId="63C3E55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44D3B8D" w14:textId="6D4132F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61F26484" w14:textId="794DD03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B07030E" w14:textId="393A237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70D0787" w14:textId="066EDFA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9E69EE8" w14:textId="6686BA3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F6B1473" w14:textId="59A2EB2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9FC8EBE" w14:textId="5A243E30"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8FCD860" w14:textId="3B729D6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1705D469" w14:textId="370DCD8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5B28B99" w14:textId="3F9BAC7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DA2430D" w14:textId="63775C1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4F314BB" w14:textId="7777777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1.4</w:t>
            </w:r>
          </w:p>
        </w:tc>
        <w:tc>
          <w:tcPr>
            <w:tcW w:w="509" w:type="dxa"/>
            <w:hideMark/>
          </w:tcPr>
          <w:p w14:paraId="4C6EF697" w14:textId="7B0A053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57F6E295" w14:textId="3AD026C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355F6544" w14:textId="0111813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27BCB433" w14:textId="17966EC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0D59E1D8" w14:textId="3CF86B5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C39E2BA" w14:textId="6EB5DCD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63BBC971" w14:textId="51E6D51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362BE605" w14:textId="69F9DCD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E242CB" w:rsidRPr="009F3ADA" w14:paraId="42742D8B" w14:textId="77777777" w:rsidTr="00EE4600">
        <w:tc>
          <w:tcPr>
            <w:tcW w:w="701" w:type="dxa"/>
            <w:hideMark/>
          </w:tcPr>
          <w:p w14:paraId="7AE7B9AE" w14:textId="77777777" w:rsidR="00E242CB" w:rsidRPr="009F3ADA" w:rsidRDefault="00E242CB" w:rsidP="00E242CB">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0040</w:t>
            </w:r>
          </w:p>
        </w:tc>
        <w:tc>
          <w:tcPr>
            <w:tcW w:w="997" w:type="dxa"/>
            <w:hideMark/>
          </w:tcPr>
          <w:p w14:paraId="26CB4259" w14:textId="70FFD015" w:rsidR="00E242CB" w:rsidRPr="009F3ADA" w:rsidRDefault="00E242CB" w:rsidP="00E242CB">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MMI (pentru instrumente financiare derivate și SFT)</w:t>
            </w:r>
          </w:p>
        </w:tc>
        <w:tc>
          <w:tcPr>
            <w:tcW w:w="490" w:type="dxa"/>
            <w:hideMark/>
          </w:tcPr>
          <w:p w14:paraId="5EBD06CE" w14:textId="59CF2491"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4BAE8B3" w14:textId="121FEA01"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17DE907" w14:textId="6D60E6DA"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6618EC1" w14:textId="398525C4"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7AE5A74" w14:textId="4406B1AF"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6D0F3E6" w14:textId="2FDD5F5C"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9299DA4" w14:textId="4B255E51"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C916350" w14:textId="609E2313"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09BB986" w14:textId="7D8E6C97"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1290BC4" w14:textId="0C114142"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EB53FFB" w14:textId="000A118D"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A6481F7" w14:textId="23778985"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CDA84EC" w14:textId="1F63DA7B"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62A214E" w14:textId="54C150F0"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494CA9CB" w14:textId="2E851CC5"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1D1A9F59" w14:textId="6FA2564D"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215FE191" w14:textId="41D5BDFC"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92" w:type="dxa"/>
            <w:hideMark/>
          </w:tcPr>
          <w:p w14:paraId="765D2F0B" w14:textId="3FE649AF"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6FE2C21D" w14:textId="6A901ACB"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93DBBF5" w14:textId="3560BC75"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256" w:type="dxa"/>
            <w:hideMark/>
          </w:tcPr>
          <w:p w14:paraId="006095BA" w14:textId="5B2AAA38"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145CAD61" w14:textId="0795A7FC" w:rsidR="00E242CB" w:rsidRPr="009F3ADA" w:rsidRDefault="00E242CB" w:rsidP="00E242CB">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E02E8" w:rsidRPr="009F3ADA" w14:paraId="6009CEF6" w14:textId="77777777" w:rsidTr="00EE4600">
        <w:tc>
          <w:tcPr>
            <w:tcW w:w="701" w:type="dxa"/>
            <w:hideMark/>
          </w:tcPr>
          <w:p w14:paraId="7E040464" w14:textId="77777777" w:rsidR="00BE02E8" w:rsidRPr="009F3ADA" w:rsidRDefault="00BE02E8" w:rsidP="00BE02E8">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0050</w:t>
            </w:r>
          </w:p>
        </w:tc>
        <w:tc>
          <w:tcPr>
            <w:tcW w:w="997" w:type="dxa"/>
            <w:hideMark/>
          </w:tcPr>
          <w:p w14:paraId="7B296D01" w14:textId="77777777" w:rsidR="00BE02E8" w:rsidRPr="009F3ADA" w:rsidRDefault="00BE02E8" w:rsidP="00BE02E8">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Seturi de compensare pentru operațiunile de finanțare prin instrumente financiare</w:t>
            </w:r>
          </w:p>
        </w:tc>
        <w:tc>
          <w:tcPr>
            <w:tcW w:w="490" w:type="dxa"/>
            <w:hideMark/>
          </w:tcPr>
          <w:p w14:paraId="7F47C927" w14:textId="6322302E"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7FFCDEDE" w14:textId="3B4DBAB5"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22FED4AD" w14:textId="3000958F"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2531A539" w14:textId="217666B1"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7C9C5445" w14:textId="564E62AD"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1459CFBC" w14:textId="798051DD"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54830BBA" w14:textId="650BFEB5"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4265D3C2" w14:textId="1A8C9C06"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5779969C" w14:textId="7FEBE95D"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tcPr>
          <w:p w14:paraId="6E93D668" w14:textId="641F31F7"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89537A9" w14:textId="189573BC"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F852D2E" w14:textId="7DC88427"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3230EEF" w14:textId="0631BB77"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300BCC5" w14:textId="16874C8F"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3E569228" w14:textId="4F4CA9EF"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1A31D20A" w14:textId="267070AB"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04538461" w14:textId="429F08C4"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92" w:type="dxa"/>
            <w:hideMark/>
          </w:tcPr>
          <w:p w14:paraId="130A404D" w14:textId="6A202D54"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0B519342" w14:textId="64C47394"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38AF0D1" w14:textId="5F92DA24"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256" w:type="dxa"/>
            <w:hideMark/>
          </w:tcPr>
          <w:p w14:paraId="1445515A" w14:textId="1FC78E11"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424EB1DA" w14:textId="6F1D9BDA" w:rsidR="00BE02E8" w:rsidRPr="009F3ADA" w:rsidRDefault="00BE02E8" w:rsidP="00BE02E8">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822535" w:rsidRPr="009F3ADA" w14:paraId="39FCCCDF" w14:textId="77777777" w:rsidTr="00EE4600">
        <w:tc>
          <w:tcPr>
            <w:tcW w:w="701" w:type="dxa"/>
            <w:hideMark/>
          </w:tcPr>
          <w:p w14:paraId="73559A3E" w14:textId="77777777" w:rsidR="00822535" w:rsidRPr="009F3ADA" w:rsidRDefault="00822535" w:rsidP="00822535">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0060</w:t>
            </w:r>
          </w:p>
        </w:tc>
        <w:tc>
          <w:tcPr>
            <w:tcW w:w="997" w:type="dxa"/>
            <w:hideMark/>
          </w:tcPr>
          <w:p w14:paraId="360B256D" w14:textId="77777777" w:rsidR="00822535" w:rsidRPr="009F3ADA" w:rsidRDefault="00822535" w:rsidP="00822535">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xml:space="preserve">Seturi de compensare pentru instrumentele financiare </w:t>
            </w:r>
            <w:r w:rsidRPr="009F3ADA">
              <w:rPr>
                <w:rFonts w:ascii="Times New Roman" w:eastAsia="Times New Roman" w:hAnsi="Times New Roman" w:cs="Times New Roman"/>
                <w:color w:val="000000"/>
                <w:sz w:val="18"/>
                <w:szCs w:val="18"/>
                <w:lang w:eastAsia="ro-MD"/>
              </w:rPr>
              <w:lastRenderedPageBreak/>
              <w:t>derivate și tranzacțiile cu termen lung de decontare</w:t>
            </w:r>
          </w:p>
        </w:tc>
        <w:tc>
          <w:tcPr>
            <w:tcW w:w="490" w:type="dxa"/>
            <w:hideMark/>
          </w:tcPr>
          <w:p w14:paraId="64A78576" w14:textId="366F844F"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lastRenderedPageBreak/>
              <w:t>X</w:t>
            </w:r>
          </w:p>
        </w:tc>
        <w:tc>
          <w:tcPr>
            <w:tcW w:w="490" w:type="dxa"/>
            <w:hideMark/>
          </w:tcPr>
          <w:p w14:paraId="09B7E8EC" w14:textId="686FEBA8"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F6F4C2C" w14:textId="28B07ED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BCA14CB" w14:textId="15FE229F"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28C7D4C" w14:textId="5182E98E"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2AFA65F" w14:textId="03EC58A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78E7B94" w14:textId="32AB1E75"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027BA46" w14:textId="774CE858"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F2203A5" w14:textId="60E2876B"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6F2A04B" w14:textId="4BE0956E"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4FC1E6E" w14:textId="59F5BD18"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7286337" w14:textId="74C10BC2"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372F532" w14:textId="19962262"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C354C30" w14:textId="523F07F6"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03B8C327" w14:textId="3249192D"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6223705B" w14:textId="72E1048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049A2DF3" w14:textId="3D7714AB"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92" w:type="dxa"/>
            <w:hideMark/>
          </w:tcPr>
          <w:p w14:paraId="29E1836B" w14:textId="1C60C05C"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4B7B65EE" w14:textId="5B5F8D86"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8022EEE" w14:textId="7BC527E4"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256" w:type="dxa"/>
            <w:hideMark/>
          </w:tcPr>
          <w:p w14:paraId="66CF47A3" w14:textId="55984A57"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38FC16A0" w14:textId="27065A16"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822535" w:rsidRPr="009F3ADA" w14:paraId="19165164" w14:textId="77777777" w:rsidTr="00EE4600">
        <w:tc>
          <w:tcPr>
            <w:tcW w:w="701" w:type="dxa"/>
            <w:hideMark/>
          </w:tcPr>
          <w:p w14:paraId="324C4B33" w14:textId="77777777" w:rsidR="00822535" w:rsidRPr="009F3ADA" w:rsidRDefault="00822535" w:rsidP="00822535">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0070</w:t>
            </w:r>
          </w:p>
        </w:tc>
        <w:tc>
          <w:tcPr>
            <w:tcW w:w="997" w:type="dxa"/>
            <w:hideMark/>
          </w:tcPr>
          <w:p w14:paraId="33EDA23E" w14:textId="77777777" w:rsidR="00822535" w:rsidRPr="009F3ADA" w:rsidRDefault="00822535" w:rsidP="00822535">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Din seturi de compensare contractuală între produse diferite</w:t>
            </w:r>
          </w:p>
        </w:tc>
        <w:tc>
          <w:tcPr>
            <w:tcW w:w="490" w:type="dxa"/>
            <w:hideMark/>
          </w:tcPr>
          <w:p w14:paraId="3E75FFA3" w14:textId="6F3399E5"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FDCE542" w14:textId="4751F71B"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853F508" w14:textId="2E819316"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7EC2EDC" w14:textId="3BF4896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ACEB0E6" w14:textId="2F475F0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6652E83" w14:textId="07D2FA7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2B631F5" w14:textId="4194BC8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2A739BA" w14:textId="4724636A"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45E777B" w14:textId="508DE9D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71A542C" w14:textId="60348CF9"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81BCF17" w14:textId="3ABD7A28"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DE4542F" w14:textId="43DD5B9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B7E7D12" w14:textId="2F6DB59D"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E90E7E3" w14:textId="22BFF330"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181CF331" w14:textId="367786F7"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29AA5EDE" w14:textId="6016233A"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080629BE" w14:textId="4C52404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92" w:type="dxa"/>
            <w:hideMark/>
          </w:tcPr>
          <w:p w14:paraId="6F7C0F40" w14:textId="0A781C2A"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0561F10E" w14:textId="0DC2A8B2"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96961A8" w14:textId="7FCE5ACD"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256" w:type="dxa"/>
            <w:hideMark/>
          </w:tcPr>
          <w:p w14:paraId="7AD42D04" w14:textId="2A7E55C6"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38CFDB21" w14:textId="1EF4A243" w:rsidR="00822535" w:rsidRPr="009F3ADA" w:rsidRDefault="00822535" w:rsidP="00822535">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1C9363CE" w14:textId="77777777" w:rsidTr="00EE4600">
        <w:tc>
          <w:tcPr>
            <w:tcW w:w="701" w:type="dxa"/>
            <w:hideMark/>
          </w:tcPr>
          <w:p w14:paraId="083D18FC"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0080</w:t>
            </w:r>
          </w:p>
        </w:tc>
        <w:tc>
          <w:tcPr>
            <w:tcW w:w="997" w:type="dxa"/>
            <w:hideMark/>
          </w:tcPr>
          <w:p w14:paraId="2AF4431B" w14:textId="7D70E3C8"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Metoda simplă a garanțiilor financiare (pentru SFT)</w:t>
            </w:r>
          </w:p>
        </w:tc>
        <w:tc>
          <w:tcPr>
            <w:tcW w:w="490" w:type="dxa"/>
            <w:hideMark/>
          </w:tcPr>
          <w:p w14:paraId="77BF2830" w14:textId="29A3E62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B75C147" w14:textId="1AAA3DF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6F84CD22" w14:textId="1018397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4BE736F" w14:textId="0C60A8E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95F3A53" w14:textId="733C5B4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54D4331" w14:textId="4F904BA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0177BC1" w14:textId="708B046B"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FF3637E" w14:textId="541EC99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73CC473" w14:textId="6FE97D1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14923EE" w14:textId="66256A8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DF4251F" w14:textId="1023A50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A40F0EC" w14:textId="354EB9B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86785B3" w14:textId="5CD44FB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680D017" w14:textId="6E07DA9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16BBAE57" w14:textId="46FDA6C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391C0AFC" w14:textId="0029615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03DE350D" w14:textId="6408B94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7EA5DC7B" w14:textId="3DB9E9E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3C0853B1" w14:textId="3AA3C83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67F94A1" w14:textId="7B2AA5E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0775AA7A" w14:textId="2E2AB30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4819B075" w14:textId="1D4EDA6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2A5A9C7D" w14:textId="77777777" w:rsidTr="00EE4600">
        <w:tc>
          <w:tcPr>
            <w:tcW w:w="701" w:type="dxa"/>
            <w:hideMark/>
          </w:tcPr>
          <w:p w14:paraId="5D688D82"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0090</w:t>
            </w:r>
          </w:p>
        </w:tc>
        <w:tc>
          <w:tcPr>
            <w:tcW w:w="997" w:type="dxa"/>
            <w:hideMark/>
          </w:tcPr>
          <w:p w14:paraId="0F098C7F" w14:textId="7DBDD02C"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Metoda extinsă a garanțiilor financiare (pentru SFT)</w:t>
            </w:r>
          </w:p>
        </w:tc>
        <w:tc>
          <w:tcPr>
            <w:tcW w:w="490" w:type="dxa"/>
            <w:hideMark/>
          </w:tcPr>
          <w:p w14:paraId="7C5F968F" w14:textId="0FC1E2C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A1FF584" w14:textId="7C03B61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71AB5AD" w14:textId="356CEF7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16B876E8" w14:textId="2F2B65B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DB65994" w14:textId="2EEB2F1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17975E8E" w14:textId="6DB3767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513349F" w14:textId="20357B2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CD672BA" w14:textId="3C2880D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9FC47E5" w14:textId="6B71CB8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E5F25FC" w14:textId="4473C4A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3410FE3" w14:textId="427FC5F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20B3B0C" w14:textId="2836E3F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3E5356C" w14:textId="58025F1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B3F3697" w14:textId="3E5A954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431E2E33" w14:textId="0BF53AD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77DF315E" w14:textId="4E88F35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4875D0FE" w14:textId="62A84FB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6ADF8533" w14:textId="6E078F0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1C05E912" w14:textId="3844223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9CB0E9D" w14:textId="271C49C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6DFC63EA" w14:textId="03481F5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069201C5" w14:textId="6F8B337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48BF5622" w14:textId="77777777" w:rsidTr="00EE4600">
        <w:tc>
          <w:tcPr>
            <w:tcW w:w="701" w:type="dxa"/>
            <w:hideMark/>
          </w:tcPr>
          <w:p w14:paraId="71322A8B"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0100</w:t>
            </w:r>
          </w:p>
        </w:tc>
        <w:tc>
          <w:tcPr>
            <w:tcW w:w="997" w:type="dxa"/>
            <w:hideMark/>
          </w:tcPr>
          <w:p w14:paraId="2C970D1C" w14:textId="08379E0D"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VAR pentru SFT</w:t>
            </w:r>
          </w:p>
        </w:tc>
        <w:tc>
          <w:tcPr>
            <w:tcW w:w="490" w:type="dxa"/>
            <w:hideMark/>
          </w:tcPr>
          <w:p w14:paraId="39DEB354" w14:textId="2013E4B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F927449" w14:textId="2EC32CF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083D509" w14:textId="10A1CCD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C907CCD" w14:textId="2A3CCA4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E10D010" w14:textId="792910B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60ADEEF" w14:textId="0C7E056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A1770F6" w14:textId="4CDEA26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05543D8" w14:textId="671366E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2186AF8" w14:textId="04E1658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DCC7A17" w14:textId="2C6829A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874C7EE" w14:textId="0945DE5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326CDCE" w14:textId="12809F4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2B2113B" w14:textId="370851E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44BE385" w14:textId="1701A05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3E642C0D" w14:textId="700D191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23FAB42F" w14:textId="76ED3B0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63DF3129" w14:textId="344E98E0"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046DD3AE" w14:textId="464B9B1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045E6F44" w14:textId="05B50E2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5DF27E5" w14:textId="320BA1D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4D0A4BC4" w14:textId="034D8DC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1F09744C" w14:textId="7F00ACF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B70E1A" w:rsidRPr="009F3ADA" w14:paraId="51206576" w14:textId="77777777" w:rsidTr="00EE4600">
        <w:tc>
          <w:tcPr>
            <w:tcW w:w="701" w:type="dxa"/>
            <w:hideMark/>
          </w:tcPr>
          <w:p w14:paraId="6F583DFA"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0110</w:t>
            </w:r>
          </w:p>
        </w:tc>
        <w:tc>
          <w:tcPr>
            <w:tcW w:w="997" w:type="dxa"/>
            <w:hideMark/>
          </w:tcPr>
          <w:p w14:paraId="274E81AE" w14:textId="77777777" w:rsidR="00B70E1A" w:rsidRPr="009F3ADA" w:rsidRDefault="00B70E1A" w:rsidP="00B70E1A">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Total</w:t>
            </w:r>
          </w:p>
        </w:tc>
        <w:tc>
          <w:tcPr>
            <w:tcW w:w="490" w:type="dxa"/>
            <w:hideMark/>
          </w:tcPr>
          <w:p w14:paraId="09D1AC62" w14:textId="5144D3BF"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BCED99B" w14:textId="587C3907"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97EFD61" w14:textId="30A4AEF1"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77CB458E" w14:textId="38D80E85"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C385830" w14:textId="53B1DC48"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89C102A" w14:textId="59A1B9E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624F63A" w14:textId="1409F210"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306AFD0" w14:textId="6E5EC3F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293A6DD" w14:textId="5601A8C4"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5754022" w14:textId="33120D5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E2A15A4" w14:textId="586EF64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F8D24BF" w14:textId="6B6BE52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4C78A14" w14:textId="553BF9F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609012D" w14:textId="34708AE3"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127EE202" w14:textId="4188D39C"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28B12538" w14:textId="05FEA0FD"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2EED9B8E" w14:textId="38FBE656"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6C7551A1" w14:textId="32C04FCE"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136" w:type="dxa"/>
            <w:hideMark/>
          </w:tcPr>
          <w:p w14:paraId="6BC96C6C" w14:textId="0DECF13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9514A78" w14:textId="373D107A"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2EA2B257" w14:textId="3CADD7C9"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45" w:type="dxa"/>
            <w:hideMark/>
          </w:tcPr>
          <w:p w14:paraId="32A077CB" w14:textId="58949992" w:rsidR="00B70E1A" w:rsidRPr="009F3ADA" w:rsidRDefault="00B70E1A" w:rsidP="00B70E1A">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6A48B0" w:rsidRPr="009F3ADA" w14:paraId="1C95E928" w14:textId="77777777" w:rsidTr="00EE4600">
        <w:tc>
          <w:tcPr>
            <w:tcW w:w="701" w:type="dxa"/>
            <w:hideMark/>
          </w:tcPr>
          <w:p w14:paraId="62E13AFA" w14:textId="77777777" w:rsidR="006A48B0" w:rsidRPr="009F3ADA" w:rsidRDefault="006A48B0" w:rsidP="006A48B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0120</w:t>
            </w:r>
          </w:p>
        </w:tc>
        <w:tc>
          <w:tcPr>
            <w:tcW w:w="997" w:type="dxa"/>
            <w:hideMark/>
          </w:tcPr>
          <w:p w14:paraId="75A08439" w14:textId="77777777" w:rsidR="006A48B0" w:rsidRPr="009F3ADA" w:rsidRDefault="006A48B0" w:rsidP="006A48B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Din care: Poziții expuse riscului specific de corelare defavorabilă (SWWR)</w:t>
            </w:r>
          </w:p>
        </w:tc>
        <w:tc>
          <w:tcPr>
            <w:tcW w:w="490" w:type="dxa"/>
            <w:hideMark/>
          </w:tcPr>
          <w:p w14:paraId="29FD8521" w14:textId="5A351FD6"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DE917BB" w14:textId="035A331A"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2404B7B" w14:textId="366716A1"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79C92EA" w14:textId="2BDC0272"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CBCDDC5" w14:textId="32568EBB"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494A256" w14:textId="65F5009D"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52499EE" w14:textId="4D63D324"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8320D63" w14:textId="07E1BFEC"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3386536" w14:textId="79EE464D"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58F7EB7" w14:textId="78509BAD"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CFD11DE" w14:textId="5D47B9FC"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3A32DE5" w14:textId="38CE84D6"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6245F2B" w14:textId="2F38B39C"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C63B834" w14:textId="51F34E65"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789E9CF2" w14:textId="466BDBEA"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77F7EBFE" w14:textId="68D1C9F3"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7D2567AE" w14:textId="533D63F1"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92" w:type="dxa"/>
            <w:hideMark/>
          </w:tcPr>
          <w:p w14:paraId="1F077A85" w14:textId="49C83049"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7CF400FA" w14:textId="0578202A"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7D66DA8" w14:textId="6C76A82C"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256" w:type="dxa"/>
            <w:hideMark/>
          </w:tcPr>
          <w:p w14:paraId="3839A32B" w14:textId="731418B4"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163579FF" w14:textId="7FB38AD2" w:rsidR="006A48B0" w:rsidRPr="009F3ADA" w:rsidRDefault="006A48B0" w:rsidP="006A48B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0C2DA0" w:rsidRPr="009F3ADA" w14:paraId="514DAE9F" w14:textId="77777777" w:rsidTr="00EE4600">
        <w:tc>
          <w:tcPr>
            <w:tcW w:w="701" w:type="dxa"/>
            <w:hideMark/>
          </w:tcPr>
          <w:p w14:paraId="3E1E5BE1"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0130</w:t>
            </w:r>
          </w:p>
        </w:tc>
        <w:tc>
          <w:tcPr>
            <w:tcW w:w="997" w:type="dxa"/>
            <w:hideMark/>
          </w:tcPr>
          <w:p w14:paraId="2DB790FE"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Operațiuni cu marjă</w:t>
            </w:r>
          </w:p>
        </w:tc>
        <w:tc>
          <w:tcPr>
            <w:tcW w:w="490" w:type="dxa"/>
            <w:hideMark/>
          </w:tcPr>
          <w:p w14:paraId="76423A56" w14:textId="43133374"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65C4DBD1" w14:textId="3937616C"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4C31D464" w14:textId="1CA15057"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2EADD6A6" w14:textId="7393E6DB"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5E105B5F" w14:textId="0C0C43D1"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490" w:type="dxa"/>
            <w:hideMark/>
          </w:tcPr>
          <w:p w14:paraId="348E26C7" w14:textId="4F03F54D"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C725CE9" w14:textId="4F6C97EC"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A632E76" w14:textId="270922F1"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29FA3A36" w14:textId="5502423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F97FF2F" w14:textId="614BE2B1"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525988D" w14:textId="5FBA401E"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E5A110C" w14:textId="32A43E1E"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304CB933" w14:textId="0465D6A7"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A69AA14" w14:textId="2599E14E"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12AE7EDC" w14:textId="48EBFC00"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4B457D3C" w14:textId="11344C80"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43E2534B" w14:textId="719A9D48"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992" w:type="dxa"/>
            <w:hideMark/>
          </w:tcPr>
          <w:p w14:paraId="5CA23EAF" w14:textId="0F3EF668"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574BA2A1" w14:textId="3D028405"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BAAD947" w14:textId="36FE78E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345E23A7" w14:textId="4E49979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1A8A939D" w14:textId="64CDEA15"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tr w:rsidR="000C2DA0" w:rsidRPr="009F3ADA" w14:paraId="32BD15D7" w14:textId="77777777" w:rsidTr="00EE4600">
        <w:tc>
          <w:tcPr>
            <w:tcW w:w="701" w:type="dxa"/>
            <w:hideMark/>
          </w:tcPr>
          <w:p w14:paraId="2C30F9A2"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lastRenderedPageBreak/>
              <w:t>0140</w:t>
            </w:r>
          </w:p>
        </w:tc>
        <w:tc>
          <w:tcPr>
            <w:tcW w:w="997" w:type="dxa"/>
            <w:hideMark/>
          </w:tcPr>
          <w:p w14:paraId="6DE57698"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Operațiuni fără marjă</w:t>
            </w:r>
          </w:p>
        </w:tc>
        <w:tc>
          <w:tcPr>
            <w:tcW w:w="490" w:type="dxa"/>
            <w:hideMark/>
          </w:tcPr>
          <w:p w14:paraId="17038EA5" w14:textId="535403C1"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E84194B"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w:t>
            </w:r>
          </w:p>
        </w:tc>
        <w:tc>
          <w:tcPr>
            <w:tcW w:w="490" w:type="dxa"/>
            <w:hideMark/>
          </w:tcPr>
          <w:p w14:paraId="2CCB4BC8"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w:t>
            </w:r>
          </w:p>
        </w:tc>
        <w:tc>
          <w:tcPr>
            <w:tcW w:w="490" w:type="dxa"/>
            <w:hideMark/>
          </w:tcPr>
          <w:p w14:paraId="0E27031D"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w:t>
            </w:r>
          </w:p>
        </w:tc>
        <w:tc>
          <w:tcPr>
            <w:tcW w:w="490" w:type="dxa"/>
            <w:hideMark/>
          </w:tcPr>
          <w:p w14:paraId="09AF1FA5"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w:t>
            </w:r>
          </w:p>
        </w:tc>
        <w:tc>
          <w:tcPr>
            <w:tcW w:w="490" w:type="dxa"/>
            <w:hideMark/>
          </w:tcPr>
          <w:p w14:paraId="1E5DA195" w14:textId="5382680D"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90CA427" w14:textId="584B9802"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5022989" w14:textId="7FA1FFDB"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F003D8A" w14:textId="6A473386"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4745CFFE" w14:textId="5D0AFAD6"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5C491CA9" w14:textId="70FC1A0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BDD73FB" w14:textId="47698B0D"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79B7564C" w14:textId="5D5EC03C"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09769407" w14:textId="17515C0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09" w:type="dxa"/>
            <w:hideMark/>
          </w:tcPr>
          <w:p w14:paraId="2519921B" w14:textId="542C48BE"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71" w:type="dxa"/>
            <w:hideMark/>
          </w:tcPr>
          <w:p w14:paraId="6106ED2C" w14:textId="06834D07"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519" w:type="dxa"/>
            <w:hideMark/>
          </w:tcPr>
          <w:p w14:paraId="61C5A93E" w14:textId="77777777" w:rsidR="000C2DA0" w:rsidRPr="009F3ADA" w:rsidRDefault="000C2DA0" w:rsidP="000C2DA0">
            <w:pPr>
              <w:spacing w:before="100" w:beforeAutospacing="1" w:after="100" w:afterAutospacing="1"/>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 </w:t>
            </w:r>
          </w:p>
        </w:tc>
        <w:tc>
          <w:tcPr>
            <w:tcW w:w="992" w:type="dxa"/>
            <w:hideMark/>
          </w:tcPr>
          <w:p w14:paraId="76FA9DD1" w14:textId="257CBDEF"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1136" w:type="dxa"/>
            <w:hideMark/>
          </w:tcPr>
          <w:p w14:paraId="07854328" w14:textId="2FEA1258"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490" w:type="dxa"/>
            <w:hideMark/>
          </w:tcPr>
          <w:p w14:paraId="1E6DFC1F" w14:textId="4AAF2B6B"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p>
        </w:tc>
        <w:tc>
          <w:tcPr>
            <w:tcW w:w="1256" w:type="dxa"/>
            <w:hideMark/>
          </w:tcPr>
          <w:p w14:paraId="7C6DF9A4" w14:textId="5D30DB95"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c>
          <w:tcPr>
            <w:tcW w:w="945" w:type="dxa"/>
            <w:hideMark/>
          </w:tcPr>
          <w:p w14:paraId="220EF441" w14:textId="15647A29" w:rsidR="000C2DA0" w:rsidRPr="009F3ADA" w:rsidRDefault="000C2DA0" w:rsidP="000C2DA0">
            <w:pPr>
              <w:spacing w:before="100" w:beforeAutospacing="1" w:after="100" w:afterAutospacing="1"/>
              <w:jc w:val="center"/>
              <w:rPr>
                <w:rFonts w:ascii="Times New Roman" w:eastAsia="Times New Roman" w:hAnsi="Times New Roman" w:cs="Times New Roman"/>
                <w:color w:val="000000"/>
                <w:sz w:val="18"/>
                <w:szCs w:val="18"/>
                <w:lang w:eastAsia="ro-MD"/>
              </w:rPr>
            </w:pPr>
            <w:r w:rsidRPr="009F3ADA">
              <w:rPr>
                <w:rFonts w:ascii="Times New Roman" w:eastAsia="Times New Roman" w:hAnsi="Times New Roman" w:cs="Times New Roman"/>
                <w:color w:val="000000"/>
                <w:sz w:val="18"/>
                <w:szCs w:val="18"/>
                <w:lang w:eastAsia="ro-MD"/>
              </w:rPr>
              <w:t>X</w:t>
            </w:r>
          </w:p>
        </w:tc>
      </w:tr>
      <w:bookmarkEnd w:id="13"/>
    </w:tbl>
    <w:p w14:paraId="008400E7" w14:textId="77777777" w:rsidR="006057E8" w:rsidRPr="009F3ADA" w:rsidRDefault="006057E8" w:rsidP="006F7FA2">
      <w:pPr>
        <w:rPr>
          <w:rFonts w:ascii="Times New Roman" w:hAnsi="Times New Roman" w:cs="Times New Roman"/>
          <w:sz w:val="24"/>
          <w:szCs w:val="24"/>
        </w:rPr>
        <w:sectPr w:rsidR="006057E8" w:rsidRPr="009F3ADA" w:rsidSect="006F7FA2">
          <w:pgSz w:w="16838" w:h="11906" w:orient="landscape" w:code="9"/>
          <w:pgMar w:top="1701" w:right="1134" w:bottom="851" w:left="1134" w:header="709" w:footer="709" w:gutter="0"/>
          <w:cols w:space="708"/>
          <w:docGrid w:linePitch="360"/>
        </w:sectPr>
      </w:pPr>
      <w:r w:rsidRPr="009F3ADA">
        <w:rPr>
          <w:rFonts w:ascii="Times New Roman" w:hAnsi="Times New Roman" w:cs="Times New Roman"/>
          <w:sz w:val="24"/>
          <w:szCs w:val="24"/>
        </w:rPr>
        <w:br w:type="page"/>
      </w:r>
    </w:p>
    <w:p w14:paraId="2DC4B5CB"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23E5C11" w14:textId="77777777" w:rsidR="001102FE" w:rsidRPr="009F3ADA" w:rsidRDefault="001102FE" w:rsidP="001102FE">
      <w:pPr>
        <w:spacing w:before="100" w:beforeAutospacing="1" w:after="100" w:afterAutospacing="1"/>
        <w:rPr>
          <w:rFonts w:ascii="Times New Roman" w:eastAsia="Calibri" w:hAnsi="Times New Roman" w:cs="Times New Roman"/>
          <w:sz w:val="24"/>
          <w:szCs w:val="24"/>
          <w:lang w:val="en-US"/>
        </w:rPr>
      </w:pPr>
      <w:r w:rsidRPr="009F3ADA">
        <w:rPr>
          <w:rFonts w:ascii="Times New Roman" w:eastAsia="Times New Roman" w:hAnsi="Times New Roman" w:cs="Times New Roman"/>
          <w:color w:val="000000"/>
          <w:sz w:val="24"/>
          <w:szCs w:val="24"/>
          <w:lang w:val="en-US"/>
        </w:rPr>
        <w:t xml:space="preserve">Modul de </w:t>
      </w:r>
      <w:r w:rsidRPr="009F3ADA">
        <w:rPr>
          <w:rFonts w:ascii="Times New Roman" w:eastAsia="Times New Roman" w:hAnsi="Times New Roman" w:cs="Times New Roman"/>
          <w:color w:val="000000"/>
          <w:sz w:val="24"/>
          <w:szCs w:val="24"/>
        </w:rPr>
        <w:t>completare</w:t>
      </w:r>
      <w:r w:rsidRPr="009F3ADA">
        <w:rPr>
          <w:rFonts w:ascii="Times New Roman" w:eastAsia="Times New Roman" w:hAnsi="Times New Roman" w:cs="Times New Roman"/>
          <w:color w:val="000000"/>
          <w:sz w:val="24"/>
          <w:szCs w:val="24"/>
          <w:lang w:val="en-US"/>
        </w:rPr>
        <w:t xml:space="preserve"> a </w:t>
      </w:r>
      <w:r w:rsidRPr="009F3ADA">
        <w:rPr>
          <w:rFonts w:ascii="Times New Roman" w:eastAsia="Times New Roman" w:hAnsi="Times New Roman" w:cs="Times New Roman"/>
          <w:color w:val="000000"/>
          <w:sz w:val="24"/>
          <w:szCs w:val="24"/>
        </w:rPr>
        <w:t>raportului</w:t>
      </w:r>
      <w:r w:rsidRPr="009F3ADA">
        <w:rPr>
          <w:rFonts w:ascii="Times New Roman" w:eastAsia="Calibri" w:hAnsi="Times New Roman" w:cs="Times New Roman"/>
          <w:sz w:val="24"/>
          <w:szCs w:val="24"/>
          <w:lang w:val="en-US"/>
        </w:rPr>
        <w:t xml:space="preserve"> </w:t>
      </w:r>
    </w:p>
    <w:p w14:paraId="57A92C46" w14:textId="32F732AA" w:rsidR="001102FE" w:rsidRPr="009F3ADA" w:rsidRDefault="001102FE" w:rsidP="001102FE">
      <w:pPr>
        <w:spacing w:before="100" w:beforeAutospacing="1" w:after="100" w:afterAutospacing="1"/>
        <w:rPr>
          <w:rFonts w:ascii="Times New Roman" w:eastAsia="Times New Roman" w:hAnsi="Times New Roman" w:cs="Times New Roman"/>
          <w:b/>
          <w:color w:val="000000"/>
          <w:sz w:val="24"/>
          <w:szCs w:val="24"/>
        </w:rPr>
      </w:pPr>
      <w:r w:rsidRPr="009F3ADA">
        <w:rPr>
          <w:rFonts w:ascii="Times New Roman" w:eastAsia="Times New Roman" w:hAnsi="Times New Roman" w:cs="Times New Roman"/>
          <w:b/>
          <w:bCs/>
          <w:sz w:val="24"/>
          <w:szCs w:val="24"/>
          <w:lang w:eastAsia="ro-MD"/>
        </w:rPr>
        <w:t xml:space="preserve">C 34.02 – </w:t>
      </w:r>
      <w:r w:rsidR="005C3E27" w:rsidRPr="009F3ADA">
        <w:rPr>
          <w:rFonts w:ascii="Times New Roman" w:eastAsia="Times New Roman" w:hAnsi="Times New Roman" w:cs="Times New Roman"/>
          <w:b/>
          <w:bCs/>
          <w:sz w:val="24"/>
          <w:szCs w:val="24"/>
          <w:lang w:eastAsia="ro-MD"/>
        </w:rPr>
        <w:t>RISCUL DE CREDIT AL CONTRAPĂRȚII: EXPUNERI LA CCR ÎN FUNCȚIE DE ABORDARE (CCR 2)</w:t>
      </w:r>
    </w:p>
    <w:p w14:paraId="47F52896" w14:textId="683C86A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t>Instrucțiuni privind anumite poziții</w:t>
      </w:r>
    </w:p>
    <w:tbl>
      <w:tblPr>
        <w:tblStyle w:val="TableGrid"/>
        <w:tblW w:w="9631" w:type="dxa"/>
        <w:tblLook w:val="04A0" w:firstRow="1" w:lastRow="0" w:firstColumn="1" w:lastColumn="0" w:noHBand="0" w:noVBand="1"/>
      </w:tblPr>
      <w:tblGrid>
        <w:gridCol w:w="696"/>
        <w:gridCol w:w="7808"/>
        <w:gridCol w:w="1127"/>
      </w:tblGrid>
      <w:tr w:rsidR="00B616C1" w:rsidRPr="009F3ADA" w14:paraId="6BAB99D0" w14:textId="68591A68" w:rsidTr="009A3811">
        <w:tc>
          <w:tcPr>
            <w:tcW w:w="8497" w:type="dxa"/>
            <w:gridSpan w:val="2"/>
            <w:hideMark/>
          </w:tcPr>
          <w:p w14:paraId="5C4C06BE" w14:textId="77777777" w:rsidR="00B616C1" w:rsidRPr="009F3ADA" w:rsidRDefault="00B616C1"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c>
          <w:tcPr>
            <w:tcW w:w="1134" w:type="dxa"/>
          </w:tcPr>
          <w:p w14:paraId="3D5706A3" w14:textId="77777777" w:rsidR="00B616C1" w:rsidRPr="009F3ADA" w:rsidRDefault="00B616C1" w:rsidP="001102FE">
            <w:pPr>
              <w:spacing w:before="100" w:beforeAutospacing="1" w:after="100" w:afterAutospacing="1"/>
              <w:rPr>
                <w:rFonts w:ascii="Times New Roman" w:eastAsia="Times New Roman" w:hAnsi="Times New Roman" w:cs="Times New Roman"/>
                <w:b/>
                <w:bCs/>
                <w:sz w:val="24"/>
                <w:szCs w:val="24"/>
                <w:lang w:eastAsia="ro-MD"/>
              </w:rPr>
            </w:pPr>
          </w:p>
        </w:tc>
      </w:tr>
      <w:tr w:rsidR="00B616C1" w:rsidRPr="009F3ADA" w14:paraId="57CFFDE4" w14:textId="4EA6628C" w:rsidTr="009A3811">
        <w:tc>
          <w:tcPr>
            <w:tcW w:w="0" w:type="auto"/>
            <w:hideMark/>
          </w:tcPr>
          <w:p w14:paraId="3138A4E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w:t>
            </w:r>
          </w:p>
        </w:tc>
        <w:tc>
          <w:tcPr>
            <w:tcW w:w="7927" w:type="dxa"/>
            <w:hideMark/>
          </w:tcPr>
          <w:p w14:paraId="651AA10F"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NUMĂRUL DE CONTRAPĂRȚI</w:t>
            </w:r>
          </w:p>
          <w:p w14:paraId="49A19B4F" w14:textId="296D86EE"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Numărul de </w:t>
            </w:r>
            <w:proofErr w:type="spellStart"/>
            <w:r w:rsidRPr="009F3ADA">
              <w:rPr>
                <w:rFonts w:ascii="Times New Roman" w:eastAsia="Times New Roman" w:hAnsi="Times New Roman" w:cs="Times New Roman"/>
                <w:sz w:val="24"/>
                <w:szCs w:val="24"/>
                <w:lang w:eastAsia="ro-MD"/>
              </w:rPr>
              <w:t>contrapărți</w:t>
            </w:r>
            <w:proofErr w:type="spellEnd"/>
            <w:r w:rsidRPr="009F3ADA">
              <w:rPr>
                <w:rFonts w:ascii="Times New Roman" w:eastAsia="Times New Roman" w:hAnsi="Times New Roman" w:cs="Times New Roman"/>
                <w:sz w:val="24"/>
                <w:szCs w:val="24"/>
                <w:lang w:eastAsia="ro-MD"/>
              </w:rPr>
              <w:t xml:space="preserve"> individuale față de care banca are expuneri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w:t>
            </w:r>
          </w:p>
        </w:tc>
        <w:tc>
          <w:tcPr>
            <w:tcW w:w="1134" w:type="dxa"/>
          </w:tcPr>
          <w:p w14:paraId="601F6BB3"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1561F23F" w14:textId="30739FE0" w:rsidTr="009A3811">
        <w:tc>
          <w:tcPr>
            <w:tcW w:w="0" w:type="auto"/>
            <w:hideMark/>
          </w:tcPr>
          <w:p w14:paraId="614BE5A6"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w:t>
            </w:r>
          </w:p>
        </w:tc>
        <w:tc>
          <w:tcPr>
            <w:tcW w:w="7927" w:type="dxa"/>
            <w:hideMark/>
          </w:tcPr>
          <w:p w14:paraId="37B5F8A2"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NUMĂRUL DE TRANZACȚII</w:t>
            </w:r>
          </w:p>
          <w:p w14:paraId="5B1024D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Numărul de tranzacții supuse riscului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la data de raportare. A se reține faptul că pentru operațiunile cu CPC-uri, cifrele nu ar trebui să cuprindă intrările sau ieșirile, ci pozițiile generale din portofoliul CCR la data de raportare. În plus, un instrument financiar derivat sau o SFT care este împărțit(ă) în două sau mai multe segmente (cel puțin) în scopul modelării trebuie considerat(ă) în continuare o singură tranzacție.</w:t>
            </w:r>
          </w:p>
        </w:tc>
        <w:tc>
          <w:tcPr>
            <w:tcW w:w="1134" w:type="dxa"/>
          </w:tcPr>
          <w:p w14:paraId="5EC912CA"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1C752AAA" w14:textId="62E2B4FC" w:rsidTr="009A3811">
        <w:tc>
          <w:tcPr>
            <w:tcW w:w="0" w:type="auto"/>
            <w:hideMark/>
          </w:tcPr>
          <w:p w14:paraId="69971FD2"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w:t>
            </w:r>
          </w:p>
        </w:tc>
        <w:tc>
          <w:tcPr>
            <w:tcW w:w="7927" w:type="dxa"/>
            <w:hideMark/>
          </w:tcPr>
          <w:p w14:paraId="4EBE5A1D" w14:textId="77777777" w:rsidR="00530C01" w:rsidRPr="009F3ADA" w:rsidRDefault="00530C01" w:rsidP="00655B3B">
            <w:pPr>
              <w:spacing w:before="60" w:after="60" w:line="312" w:lineRule="atLeast"/>
              <w:jc w:val="both"/>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 NOȚIONALE </w:t>
            </w:r>
          </w:p>
          <w:p w14:paraId="2982DD6B" w14:textId="2AE8A887" w:rsidR="00B616C1" w:rsidRPr="009F3ADA" w:rsidRDefault="00B616C1" w:rsidP="00655B3B">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sz w:val="24"/>
                <w:szCs w:val="24"/>
                <w:lang w:eastAsia="ro-MD"/>
              </w:rPr>
              <w:t xml:space="preserve">Suma </w:t>
            </w:r>
            <w:r w:rsidR="00530C01" w:rsidRPr="009F3ADA">
              <w:rPr>
                <w:rFonts w:ascii="Times New Roman" w:eastAsia="Times New Roman" w:hAnsi="Times New Roman" w:cs="Times New Roman"/>
                <w:sz w:val="24"/>
                <w:szCs w:val="24"/>
                <w:lang w:eastAsia="ro-MD"/>
              </w:rPr>
              <w:t>cuantumuri</w:t>
            </w:r>
            <w:r w:rsidR="004C1983" w:rsidRPr="009F3ADA">
              <w:rPr>
                <w:rFonts w:ascii="Times New Roman" w:eastAsia="Times New Roman" w:hAnsi="Times New Roman" w:cs="Times New Roman"/>
                <w:sz w:val="24"/>
                <w:szCs w:val="24"/>
                <w:lang w:eastAsia="ro-MD"/>
              </w:rPr>
              <w:t>lor</w:t>
            </w:r>
            <w:r w:rsidRPr="009F3ADA">
              <w:rPr>
                <w:rFonts w:ascii="Times New Roman" w:eastAsia="Times New Roman" w:hAnsi="Times New Roman" w:cs="Times New Roman"/>
                <w:sz w:val="24"/>
                <w:szCs w:val="24"/>
                <w:lang w:eastAsia="ro-MD"/>
              </w:rPr>
              <w:t xml:space="preserve"> noționale pentru instrumentele financiare derivate și pentru SFT-uri înainte de orice compensare și fără nicio ajustare în conformitate cu p</w:t>
            </w:r>
            <w:r w:rsidRPr="009F3ADA">
              <w:rPr>
                <w:rFonts w:ascii="Times New Roman" w:eastAsia="Times New Roman" w:hAnsi="Times New Roman" w:cs="Times New Roman"/>
                <w:color w:val="333333"/>
                <w:sz w:val="24"/>
                <w:szCs w:val="24"/>
                <w:lang w:eastAsia="ro-MD"/>
              </w:rPr>
              <w:t xml:space="preserve">unctele </w:t>
            </w:r>
            <w:r w:rsidR="00703C1A" w:rsidRPr="009F3ADA">
              <w:rPr>
                <w:rFonts w:ascii="Times New Roman" w:eastAsia="Times New Roman" w:hAnsi="Times New Roman" w:cs="Times New Roman"/>
                <w:color w:val="333333"/>
                <w:sz w:val="24"/>
                <w:szCs w:val="24"/>
                <w:lang w:eastAsia="ro-MD"/>
              </w:rPr>
              <w:t>72</w:t>
            </w:r>
            <w:r w:rsidRPr="009F3ADA">
              <w:rPr>
                <w:rFonts w:ascii="Times New Roman" w:eastAsia="Times New Roman" w:hAnsi="Times New Roman" w:cs="Times New Roman"/>
                <w:color w:val="333333"/>
                <w:sz w:val="24"/>
                <w:szCs w:val="24"/>
                <w:lang w:eastAsia="ro-MD"/>
              </w:rPr>
              <w:t>-7</w:t>
            </w:r>
            <w:r w:rsidR="00703C1A" w:rsidRPr="009F3ADA">
              <w:rPr>
                <w:rFonts w:ascii="Times New Roman" w:eastAsia="Times New Roman" w:hAnsi="Times New Roman" w:cs="Times New Roman"/>
                <w:color w:val="333333"/>
                <w:sz w:val="24"/>
                <w:szCs w:val="24"/>
                <w:lang w:eastAsia="ro-MD"/>
              </w:rPr>
              <w:t>4</w:t>
            </w:r>
            <w:r w:rsidRPr="009F3ADA">
              <w:rPr>
                <w:rFonts w:ascii="Times New Roman" w:eastAsia="Times New Roman" w:hAnsi="Times New Roman" w:cs="Times New Roman"/>
                <w:color w:val="333333"/>
                <w:sz w:val="24"/>
                <w:szCs w:val="24"/>
                <w:lang w:eastAsia="ro-MD"/>
              </w:rPr>
              <w:t xml:space="preserve"> din Regulamentul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w:t>
            </w:r>
            <w:r w:rsidR="004C1983" w:rsidRPr="009F3ADA">
              <w:rPr>
                <w:rFonts w:ascii="Times New Roman" w:eastAsia="Times New Roman" w:hAnsi="Times New Roman" w:cs="Times New Roman"/>
                <w:color w:val="333333"/>
                <w:sz w:val="24"/>
                <w:szCs w:val="24"/>
                <w:lang w:eastAsia="ro-MD"/>
              </w:rPr>
              <w:t>.</w:t>
            </w:r>
            <w:r w:rsidRPr="009F3ADA">
              <w:rPr>
                <w:rFonts w:ascii="Times New Roman" w:eastAsia="Times New Roman" w:hAnsi="Times New Roman" w:cs="Times New Roman"/>
                <w:b/>
                <w:bCs/>
                <w:color w:val="333333"/>
                <w:sz w:val="24"/>
                <w:szCs w:val="24"/>
                <w:lang w:eastAsia="ro-MD"/>
              </w:rPr>
              <w:t xml:space="preserve"> </w:t>
            </w:r>
          </w:p>
        </w:tc>
        <w:tc>
          <w:tcPr>
            <w:tcW w:w="1134" w:type="dxa"/>
          </w:tcPr>
          <w:p w14:paraId="2E460D13"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380B6BCF" w14:textId="50707076" w:rsidTr="009A3811">
        <w:tc>
          <w:tcPr>
            <w:tcW w:w="0" w:type="auto"/>
            <w:hideMark/>
          </w:tcPr>
          <w:p w14:paraId="55F27899"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0040</w:t>
            </w:r>
          </w:p>
        </w:tc>
        <w:tc>
          <w:tcPr>
            <w:tcW w:w="7927" w:type="dxa"/>
            <w:hideMark/>
          </w:tcPr>
          <w:p w14:paraId="5209724D"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POZITIVĂ</w:t>
            </w:r>
          </w:p>
          <w:p w14:paraId="395CA84F" w14:textId="1844BE48" w:rsidR="00B616C1" w:rsidRPr="009F3ADA" w:rsidRDefault="00B616C1" w:rsidP="001D3F37">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3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0587711F" w14:textId="5DB30DDD" w:rsidR="00B616C1" w:rsidRPr="009F3ADA" w:rsidRDefault="00B616C1" w:rsidP="001D3F37">
            <w:pPr>
              <w:spacing w:before="60" w:after="60" w:line="312" w:lineRule="atLeast"/>
              <w:jc w:val="both"/>
              <w:rPr>
                <w:rFonts w:ascii="Times New Roman" w:eastAsia="Times New Roman" w:hAnsi="Times New Roman" w:cs="Times New Roman"/>
                <w:b/>
                <w:bCs/>
                <w:color w:val="333333"/>
                <w:sz w:val="24"/>
                <w:szCs w:val="24"/>
                <w:lang w:eastAsia="ro-MD"/>
              </w:rPr>
            </w:pPr>
            <w:r w:rsidRPr="009F3ADA">
              <w:rPr>
                <w:rFonts w:ascii="Times New Roman" w:eastAsia="Times New Roman" w:hAnsi="Times New Roman" w:cs="Times New Roman"/>
                <w:sz w:val="24"/>
                <w:szCs w:val="24"/>
                <w:lang w:eastAsia="ro-MD"/>
              </w:rPr>
              <w:t>Suma valorilor de piață curente (CMV) pentru toate seturile de compensare cu CMV pozitivă, astfel cum este definită la p</w:t>
            </w:r>
            <w:r w:rsidRPr="009F3ADA">
              <w:rPr>
                <w:rFonts w:ascii="Times New Roman" w:eastAsia="Times New Roman" w:hAnsi="Times New Roman" w:cs="Times New Roman"/>
                <w:color w:val="333333"/>
                <w:sz w:val="24"/>
                <w:szCs w:val="24"/>
                <w:lang w:eastAsia="ro-MD"/>
              </w:rPr>
              <w:t xml:space="preserve">unctul 3 din Regulamentul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w:t>
            </w:r>
            <w:r w:rsidRPr="009F3ADA">
              <w:rPr>
                <w:rFonts w:ascii="Times New Roman" w:eastAsia="Times New Roman" w:hAnsi="Times New Roman" w:cs="Times New Roman"/>
                <w:b/>
                <w:bCs/>
                <w:color w:val="333333"/>
                <w:sz w:val="24"/>
                <w:szCs w:val="24"/>
                <w:lang w:eastAsia="ro-MD"/>
              </w:rPr>
              <w:t xml:space="preserve"> </w:t>
            </w:r>
          </w:p>
        </w:tc>
        <w:tc>
          <w:tcPr>
            <w:tcW w:w="1134" w:type="dxa"/>
          </w:tcPr>
          <w:p w14:paraId="0497418D"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2A711C67" w14:textId="39BA7A2A" w:rsidTr="009A3811">
        <w:tc>
          <w:tcPr>
            <w:tcW w:w="0" w:type="auto"/>
            <w:hideMark/>
          </w:tcPr>
          <w:p w14:paraId="2933AADC"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w:t>
            </w:r>
          </w:p>
        </w:tc>
        <w:tc>
          <w:tcPr>
            <w:tcW w:w="7927" w:type="dxa"/>
            <w:hideMark/>
          </w:tcPr>
          <w:p w14:paraId="3E2E786A"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NEGATIVĂ</w:t>
            </w:r>
          </w:p>
          <w:p w14:paraId="7C3C2795" w14:textId="43F5A9F4"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3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5E958DE3" w14:textId="75821D15"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Suma valorilor de piață curente (CMV) absolute pentru toate seturile de compensare cu CMV negativă, astfel cum este definită la punctul 3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tc>
        <w:tc>
          <w:tcPr>
            <w:tcW w:w="1134" w:type="dxa"/>
          </w:tcPr>
          <w:p w14:paraId="41ED8316"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155995DB" w14:textId="4FCAB710" w:rsidTr="009A3811">
        <w:tc>
          <w:tcPr>
            <w:tcW w:w="0" w:type="auto"/>
            <w:hideMark/>
          </w:tcPr>
          <w:p w14:paraId="505B5437"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0060</w:t>
            </w:r>
          </w:p>
        </w:tc>
        <w:tc>
          <w:tcPr>
            <w:tcW w:w="7927" w:type="dxa"/>
            <w:hideMark/>
          </w:tcPr>
          <w:p w14:paraId="5ABA8FAE"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MARJA DE VARIAȚIE (VM) – PRIMITĂ</w:t>
            </w:r>
          </w:p>
          <w:p w14:paraId="758305AA" w14:textId="0718DE21"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color w:val="333333"/>
                <w:sz w:val="24"/>
                <w:szCs w:val="24"/>
                <w:lang w:eastAsia="ro-MD"/>
              </w:rPr>
              <w:lastRenderedPageBreak/>
              <w:t xml:space="preserve">Punctele </w:t>
            </w:r>
            <w:r w:rsidR="001F1CBD" w:rsidRPr="009F3ADA">
              <w:rPr>
                <w:rFonts w:ascii="Times New Roman" w:eastAsia="Times New Roman" w:hAnsi="Times New Roman" w:cs="Times New Roman"/>
                <w:color w:val="333333"/>
                <w:sz w:val="24"/>
                <w:szCs w:val="24"/>
                <w:lang w:eastAsia="ro-MD"/>
              </w:rPr>
              <w:t>50</w:t>
            </w:r>
            <w:r w:rsidRPr="009F3ADA">
              <w:rPr>
                <w:rFonts w:ascii="Times New Roman" w:eastAsia="Times New Roman" w:hAnsi="Times New Roman" w:cs="Times New Roman"/>
                <w:color w:val="333333"/>
                <w:sz w:val="24"/>
                <w:szCs w:val="24"/>
                <w:lang w:eastAsia="ro-MD"/>
              </w:rPr>
              <w:t>-5</w:t>
            </w:r>
            <w:r w:rsidR="001F1CBD" w:rsidRPr="009F3ADA">
              <w:rPr>
                <w:rFonts w:ascii="Times New Roman" w:eastAsia="Times New Roman" w:hAnsi="Times New Roman" w:cs="Times New Roman"/>
                <w:color w:val="333333"/>
                <w:sz w:val="24"/>
                <w:szCs w:val="24"/>
                <w:lang w:eastAsia="ro-MD"/>
              </w:rPr>
              <w:t>4</w:t>
            </w:r>
            <w:r w:rsidRPr="009F3ADA">
              <w:rPr>
                <w:rFonts w:ascii="Times New Roman" w:eastAsia="Times New Roman" w:hAnsi="Times New Roman" w:cs="Times New Roman"/>
                <w:color w:val="333333"/>
                <w:sz w:val="24"/>
                <w:szCs w:val="24"/>
                <w:lang w:eastAsia="ro-MD"/>
              </w:rPr>
              <w:t xml:space="preserve"> din Regulamentul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w:t>
            </w:r>
            <w:r w:rsidRPr="009F3ADA">
              <w:rPr>
                <w:rFonts w:ascii="Times New Roman" w:eastAsia="Times New Roman" w:hAnsi="Times New Roman" w:cs="Times New Roman"/>
                <w:sz w:val="24"/>
                <w:szCs w:val="24"/>
                <w:lang w:eastAsia="ro-MD"/>
              </w:rPr>
              <w:t xml:space="preserve"> </w:t>
            </w:r>
          </w:p>
          <w:p w14:paraId="6A81EC78" w14:textId="1CC18310"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Suma cuantumurilor marjei de variație (VM) a tuturor contractelor în marjă pentru care se primesc VM, calculată în conformitate cu punctele </w:t>
            </w:r>
            <w:r w:rsidR="001F1CBD" w:rsidRPr="009F3ADA">
              <w:rPr>
                <w:rFonts w:ascii="Times New Roman" w:eastAsia="Times New Roman" w:hAnsi="Times New Roman" w:cs="Times New Roman"/>
                <w:sz w:val="24"/>
                <w:szCs w:val="24"/>
                <w:lang w:eastAsia="ro-MD"/>
              </w:rPr>
              <w:t>52</w:t>
            </w:r>
            <w:r w:rsidRPr="009F3ADA">
              <w:rPr>
                <w:rFonts w:ascii="Times New Roman" w:eastAsia="Times New Roman" w:hAnsi="Times New Roman" w:cs="Times New Roman"/>
                <w:sz w:val="24"/>
                <w:szCs w:val="24"/>
                <w:lang w:eastAsia="ro-MD"/>
              </w:rPr>
              <w:t>-5</w:t>
            </w:r>
            <w:r w:rsidR="001F1CBD" w:rsidRPr="009F3ADA">
              <w:rPr>
                <w:rFonts w:ascii="Times New Roman" w:eastAsia="Times New Roman" w:hAnsi="Times New Roman" w:cs="Times New Roman"/>
                <w:sz w:val="24"/>
                <w:szCs w:val="24"/>
                <w:lang w:eastAsia="ro-MD"/>
              </w:rPr>
              <w:t>4</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w:t>
            </w:r>
          </w:p>
        </w:tc>
        <w:tc>
          <w:tcPr>
            <w:tcW w:w="1134" w:type="dxa"/>
          </w:tcPr>
          <w:p w14:paraId="2EDDB303"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20188840" w14:textId="0A293789" w:rsidTr="009A3811">
        <w:tc>
          <w:tcPr>
            <w:tcW w:w="0" w:type="auto"/>
            <w:hideMark/>
          </w:tcPr>
          <w:p w14:paraId="28D6B95E"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0070</w:t>
            </w:r>
          </w:p>
        </w:tc>
        <w:tc>
          <w:tcPr>
            <w:tcW w:w="7927" w:type="dxa"/>
            <w:hideMark/>
          </w:tcPr>
          <w:p w14:paraId="50921793"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MARJA DE VARIAȚIE (VM) – FURNIZATĂ</w:t>
            </w:r>
          </w:p>
          <w:p w14:paraId="249A31F6" w14:textId="217B2C9B" w:rsidR="00B616C1" w:rsidRPr="009F3ADA" w:rsidRDefault="00B616C1" w:rsidP="00ED3DF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color w:val="333333"/>
                <w:sz w:val="24"/>
                <w:szCs w:val="24"/>
                <w:lang w:eastAsia="ro-MD"/>
              </w:rPr>
              <w:t xml:space="preserve">Punctele </w:t>
            </w:r>
            <w:r w:rsidR="00D069E0" w:rsidRPr="009F3ADA">
              <w:rPr>
                <w:rFonts w:ascii="Times New Roman" w:eastAsia="Times New Roman" w:hAnsi="Times New Roman" w:cs="Times New Roman"/>
                <w:color w:val="333333"/>
                <w:sz w:val="24"/>
                <w:szCs w:val="24"/>
                <w:lang w:eastAsia="ro-MD"/>
              </w:rPr>
              <w:t xml:space="preserve">50-54 </w:t>
            </w:r>
            <w:r w:rsidRPr="009F3ADA">
              <w:rPr>
                <w:rFonts w:ascii="Times New Roman" w:eastAsia="Times New Roman" w:hAnsi="Times New Roman" w:cs="Times New Roman"/>
                <w:color w:val="333333"/>
                <w:sz w:val="24"/>
                <w:szCs w:val="24"/>
                <w:lang w:eastAsia="ro-MD"/>
              </w:rPr>
              <w:t xml:space="preserve"> din Regulamentul</w:t>
            </w:r>
            <w:r w:rsidR="00E972F3" w:rsidRPr="009F3ADA">
              <w:rPr>
                <w:kern w:val="0"/>
                <w14:ligatures w14:val="none"/>
              </w:rPr>
              <w:t xml:space="preserve"> </w:t>
            </w:r>
            <w:r w:rsidR="00E972F3" w:rsidRPr="009F3ADA">
              <w:rPr>
                <w:rFonts w:ascii="Times New Roman" w:eastAsia="Times New Roman" w:hAnsi="Times New Roman" w:cs="Times New Roman"/>
                <w:color w:val="333333"/>
                <w:sz w:val="24"/>
                <w:szCs w:val="24"/>
                <w:lang w:eastAsia="ro-MD"/>
              </w:rPr>
              <w:t xml:space="preserve">nr.220/2025 </w:t>
            </w:r>
            <w:r w:rsidRPr="009F3ADA">
              <w:rPr>
                <w:rFonts w:ascii="Times New Roman" w:eastAsia="Times New Roman" w:hAnsi="Times New Roman" w:cs="Times New Roman"/>
                <w:color w:val="333333"/>
                <w:sz w:val="24"/>
                <w:szCs w:val="24"/>
                <w:lang w:eastAsia="ro-MD"/>
              </w:rPr>
              <w:t xml:space="preserve">cu privire la tratamentul riscului de credit al </w:t>
            </w:r>
            <w:proofErr w:type="spellStart"/>
            <w:r w:rsidRPr="009F3ADA">
              <w:rPr>
                <w:rFonts w:ascii="Times New Roman" w:eastAsia="Times New Roman" w:hAnsi="Times New Roman" w:cs="Times New Roman"/>
                <w:color w:val="333333"/>
                <w:sz w:val="24"/>
                <w:szCs w:val="24"/>
                <w:lang w:eastAsia="ro-MD"/>
              </w:rPr>
              <w:t>contrapărţii</w:t>
            </w:r>
            <w:proofErr w:type="spellEnd"/>
            <w:r w:rsidRPr="009F3ADA">
              <w:rPr>
                <w:rFonts w:ascii="Times New Roman" w:eastAsia="Times New Roman" w:hAnsi="Times New Roman" w:cs="Times New Roman"/>
                <w:color w:val="333333"/>
                <w:sz w:val="24"/>
                <w:szCs w:val="24"/>
                <w:lang w:eastAsia="ro-MD"/>
              </w:rPr>
              <w:t xml:space="preserve"> pentru bănci</w:t>
            </w:r>
            <w:r w:rsidR="00A43D16" w:rsidRPr="009F3ADA">
              <w:rPr>
                <w:rFonts w:ascii="Times New Roman" w:eastAsia="Times New Roman" w:hAnsi="Times New Roman" w:cs="Times New Roman"/>
                <w:color w:val="333333"/>
                <w:sz w:val="24"/>
                <w:szCs w:val="24"/>
                <w:lang w:eastAsia="ro-MD"/>
              </w:rPr>
              <w:t>.</w:t>
            </w:r>
            <w:r w:rsidRPr="009F3ADA">
              <w:rPr>
                <w:rFonts w:ascii="Times New Roman" w:eastAsia="Times New Roman" w:hAnsi="Times New Roman" w:cs="Times New Roman"/>
                <w:sz w:val="24"/>
                <w:szCs w:val="24"/>
                <w:lang w:eastAsia="ro-MD"/>
              </w:rPr>
              <w:t xml:space="preserve"> </w:t>
            </w:r>
          </w:p>
          <w:p w14:paraId="6C695616" w14:textId="576D336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Suma cuantumurilor marjei de variație (VM) a tuturor contractele în marjă pentru care se furnizează VM, calculată în conformitate cu punctele </w:t>
            </w:r>
            <w:r w:rsidR="00D069E0" w:rsidRPr="009F3ADA">
              <w:rPr>
                <w:rFonts w:ascii="Times New Roman" w:eastAsia="Times New Roman" w:hAnsi="Times New Roman" w:cs="Times New Roman"/>
                <w:sz w:val="24"/>
                <w:szCs w:val="24"/>
                <w:lang w:eastAsia="ro-MD"/>
              </w:rPr>
              <w:t>52</w:t>
            </w:r>
            <w:r w:rsidRPr="009F3ADA">
              <w:rPr>
                <w:rFonts w:ascii="Times New Roman" w:eastAsia="Times New Roman" w:hAnsi="Times New Roman" w:cs="Times New Roman"/>
                <w:sz w:val="24"/>
                <w:szCs w:val="24"/>
                <w:lang w:eastAsia="ro-MD"/>
              </w:rPr>
              <w:t>-5</w:t>
            </w:r>
            <w:r w:rsidR="00D069E0" w:rsidRPr="009F3ADA">
              <w:rPr>
                <w:rFonts w:ascii="Times New Roman" w:eastAsia="Times New Roman" w:hAnsi="Times New Roman" w:cs="Times New Roman"/>
                <w:sz w:val="24"/>
                <w:szCs w:val="24"/>
                <w:lang w:eastAsia="ro-MD"/>
              </w:rPr>
              <w:t>4</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tc>
        <w:tc>
          <w:tcPr>
            <w:tcW w:w="1134" w:type="dxa"/>
          </w:tcPr>
          <w:p w14:paraId="6A44342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65CAA93E" w14:textId="5591642E" w:rsidTr="009A3811">
        <w:tc>
          <w:tcPr>
            <w:tcW w:w="0" w:type="auto"/>
            <w:hideMark/>
          </w:tcPr>
          <w:p w14:paraId="682FB54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0080</w:t>
            </w:r>
          </w:p>
        </w:tc>
        <w:tc>
          <w:tcPr>
            <w:tcW w:w="7927" w:type="dxa"/>
            <w:hideMark/>
          </w:tcPr>
          <w:p w14:paraId="094A16D9"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CUANTUMUL INDEPENDENT NET AL GARANȚIILOR REALE (NICA) – PRIMIT</w:t>
            </w:r>
          </w:p>
          <w:p w14:paraId="6A345038" w14:textId="7DCC4B1E"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Punctele 3</w:t>
            </w:r>
            <w:r w:rsidR="004C1983" w:rsidRPr="009F3ADA">
              <w:rPr>
                <w:rFonts w:ascii="Times New Roman" w:eastAsia="Times New Roman" w:hAnsi="Times New Roman" w:cs="Times New Roman"/>
                <w:sz w:val="24"/>
                <w:szCs w:val="24"/>
                <w:lang w:eastAsia="ro-MD"/>
              </w:rPr>
              <w:t xml:space="preserve"> și</w:t>
            </w:r>
            <w:r w:rsidRPr="009F3ADA">
              <w:rPr>
                <w:rFonts w:ascii="Times New Roman" w:eastAsia="Times New Roman" w:hAnsi="Times New Roman" w:cs="Times New Roman"/>
                <w:sz w:val="24"/>
                <w:szCs w:val="24"/>
                <w:lang w:eastAsia="ro-MD"/>
              </w:rPr>
              <w:t xml:space="preserve"> </w:t>
            </w:r>
            <w:r w:rsidR="002442F3" w:rsidRPr="009F3ADA">
              <w:rPr>
                <w:rFonts w:ascii="Times New Roman" w:eastAsia="Times New Roman" w:hAnsi="Times New Roman" w:cs="Times New Roman"/>
                <w:sz w:val="24"/>
                <w:szCs w:val="24"/>
                <w:lang w:eastAsia="ro-MD"/>
              </w:rPr>
              <w:t>51</w:t>
            </w:r>
            <w:r w:rsidRPr="009F3ADA">
              <w:rPr>
                <w:rFonts w:ascii="Times New Roman" w:eastAsia="Times New Roman" w:hAnsi="Times New Roman" w:cs="Times New Roman"/>
                <w:sz w:val="24"/>
                <w:szCs w:val="24"/>
                <w:lang w:eastAsia="ro-MD"/>
              </w:rPr>
              <w:t>-5</w:t>
            </w:r>
            <w:r w:rsidR="002442F3" w:rsidRPr="009F3ADA">
              <w:rPr>
                <w:rFonts w:ascii="Times New Roman" w:eastAsia="Times New Roman" w:hAnsi="Times New Roman" w:cs="Times New Roman"/>
                <w:sz w:val="24"/>
                <w:szCs w:val="24"/>
                <w:lang w:eastAsia="ro-MD"/>
              </w:rPr>
              <w:t>4</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A43D16"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w:t>
            </w:r>
          </w:p>
          <w:p w14:paraId="1A2DB021" w14:textId="18D4FDA4"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Suma cuantumurilor independente nete ale garanțiilor reale (NICA) pentru toate contractele în marjă pentru care se primește NICA, calculată în conformitate cu punctele </w:t>
            </w:r>
            <w:r w:rsidR="002442F3" w:rsidRPr="009F3ADA">
              <w:rPr>
                <w:rFonts w:ascii="Times New Roman" w:eastAsia="Times New Roman" w:hAnsi="Times New Roman" w:cs="Times New Roman"/>
                <w:sz w:val="24"/>
                <w:szCs w:val="24"/>
                <w:lang w:eastAsia="ro-MD"/>
              </w:rPr>
              <w:t xml:space="preserve">52-54 </w:t>
            </w:r>
            <w:r w:rsidRPr="009F3ADA">
              <w:rPr>
                <w:rFonts w:ascii="Times New Roman" w:eastAsia="Times New Roman" w:hAnsi="Times New Roman" w:cs="Times New Roman"/>
                <w:sz w:val="24"/>
                <w:szCs w:val="24"/>
                <w:lang w:eastAsia="ro-MD"/>
              </w:rPr>
              <w:t xml:space="preserve">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tc>
        <w:tc>
          <w:tcPr>
            <w:tcW w:w="1134" w:type="dxa"/>
          </w:tcPr>
          <w:p w14:paraId="45BD1266"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5702B779" w14:textId="0177BD28" w:rsidTr="009A3811">
        <w:tc>
          <w:tcPr>
            <w:tcW w:w="0" w:type="auto"/>
            <w:hideMark/>
          </w:tcPr>
          <w:p w14:paraId="2ACBA5C3"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0090</w:t>
            </w:r>
          </w:p>
        </w:tc>
        <w:tc>
          <w:tcPr>
            <w:tcW w:w="7927" w:type="dxa"/>
            <w:hideMark/>
          </w:tcPr>
          <w:p w14:paraId="61A2F571"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CUANTUMUL INDEPENDENT NET AL GARANȚIILOR REALE (NICA) – FURNIZAT</w:t>
            </w:r>
          </w:p>
          <w:p w14:paraId="4051D4D4" w14:textId="11BD9096" w:rsidR="00B616C1" w:rsidRPr="009F3ADA" w:rsidRDefault="00B616C1" w:rsidP="004505CD">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Punctele 3</w:t>
            </w:r>
            <w:r w:rsidR="004C1983" w:rsidRPr="009F3ADA">
              <w:rPr>
                <w:rFonts w:ascii="Times New Roman" w:eastAsia="Times New Roman" w:hAnsi="Times New Roman" w:cs="Times New Roman"/>
                <w:sz w:val="24"/>
                <w:szCs w:val="24"/>
                <w:lang w:eastAsia="ro-MD"/>
              </w:rPr>
              <w:t xml:space="preserve"> și</w:t>
            </w:r>
            <w:r w:rsidRPr="009F3ADA">
              <w:rPr>
                <w:rFonts w:ascii="Times New Roman" w:eastAsia="Times New Roman" w:hAnsi="Times New Roman" w:cs="Times New Roman"/>
                <w:sz w:val="24"/>
                <w:szCs w:val="24"/>
                <w:lang w:eastAsia="ro-MD"/>
              </w:rPr>
              <w:t xml:space="preserve"> </w:t>
            </w:r>
            <w:r w:rsidR="002442F3" w:rsidRPr="009F3ADA">
              <w:rPr>
                <w:rFonts w:ascii="Times New Roman" w:eastAsia="Times New Roman" w:hAnsi="Times New Roman" w:cs="Times New Roman"/>
                <w:sz w:val="24"/>
                <w:szCs w:val="24"/>
                <w:lang w:eastAsia="ro-MD"/>
              </w:rPr>
              <w:t xml:space="preserve">51-54 </w:t>
            </w:r>
            <w:r w:rsidRPr="009F3ADA">
              <w:rPr>
                <w:rFonts w:ascii="Times New Roman" w:eastAsia="Times New Roman" w:hAnsi="Times New Roman" w:cs="Times New Roman"/>
                <w:sz w:val="24"/>
                <w:szCs w:val="24"/>
                <w:lang w:eastAsia="ro-MD"/>
              </w:rPr>
              <w:t xml:space="preserve">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A43D16"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w:t>
            </w:r>
          </w:p>
          <w:p w14:paraId="25194F44" w14:textId="74E20688"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Suma cuantumurilor independente nete ale garanțiilor reale (NICA) pentru toate contractele în marjă pentru care se furnizează NICA, calculată în conformitate cu punctele </w:t>
            </w:r>
            <w:r w:rsidR="002442F3" w:rsidRPr="009F3ADA">
              <w:rPr>
                <w:rFonts w:ascii="Times New Roman" w:eastAsia="Times New Roman" w:hAnsi="Times New Roman" w:cs="Times New Roman"/>
                <w:sz w:val="24"/>
                <w:szCs w:val="24"/>
                <w:lang w:eastAsia="ro-MD"/>
              </w:rPr>
              <w:t xml:space="preserve">52-54 </w:t>
            </w:r>
            <w:r w:rsidRPr="009F3ADA">
              <w:rPr>
                <w:rFonts w:ascii="Times New Roman" w:eastAsia="Times New Roman" w:hAnsi="Times New Roman" w:cs="Times New Roman"/>
                <w:sz w:val="24"/>
                <w:szCs w:val="24"/>
                <w:lang w:eastAsia="ro-MD"/>
              </w:rPr>
              <w:t xml:space="preserve">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tc>
        <w:tc>
          <w:tcPr>
            <w:tcW w:w="1134" w:type="dxa"/>
          </w:tcPr>
          <w:p w14:paraId="69A062CC"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32ACB70A" w14:textId="48FB1FF3" w:rsidTr="009A3811">
        <w:tc>
          <w:tcPr>
            <w:tcW w:w="0" w:type="auto"/>
            <w:hideMark/>
          </w:tcPr>
          <w:p w14:paraId="1E4579A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0100</w:t>
            </w:r>
          </w:p>
        </w:tc>
        <w:tc>
          <w:tcPr>
            <w:tcW w:w="7927" w:type="dxa"/>
            <w:hideMark/>
          </w:tcPr>
          <w:p w14:paraId="6A587CDD"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COSTUL DE ÎNLOCUIRE (RC)</w:t>
            </w:r>
          </w:p>
          <w:p w14:paraId="70F29D63" w14:textId="24DE133B" w:rsidR="00B616C1" w:rsidRPr="009F3ADA" w:rsidRDefault="00B616C1" w:rsidP="00F1512E">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Punctele </w:t>
            </w:r>
            <w:r w:rsidR="007A2B4C" w:rsidRPr="009F3ADA">
              <w:rPr>
                <w:rFonts w:ascii="Times New Roman" w:eastAsia="Times New Roman" w:hAnsi="Times New Roman" w:cs="Times New Roman"/>
                <w:sz w:val="24"/>
                <w:szCs w:val="24"/>
                <w:lang w:eastAsia="ro-MD"/>
              </w:rPr>
              <w:t>49</w:t>
            </w:r>
            <w:r w:rsidRPr="009F3ADA">
              <w:rPr>
                <w:rFonts w:ascii="Times New Roman" w:eastAsia="Times New Roman" w:hAnsi="Times New Roman" w:cs="Times New Roman"/>
                <w:sz w:val="24"/>
                <w:szCs w:val="24"/>
                <w:lang w:eastAsia="ro-MD"/>
              </w:rPr>
              <w:t>-</w:t>
            </w:r>
            <w:r w:rsidR="007A2B4C" w:rsidRPr="009F3ADA">
              <w:rPr>
                <w:rFonts w:ascii="Times New Roman" w:eastAsia="Times New Roman" w:hAnsi="Times New Roman" w:cs="Times New Roman"/>
                <w:sz w:val="24"/>
                <w:szCs w:val="24"/>
                <w:lang w:eastAsia="ro-MD"/>
              </w:rPr>
              <w:t>51</w:t>
            </w:r>
            <w:r w:rsidR="004C1983" w:rsidRPr="009F3ADA">
              <w:rPr>
                <w:rFonts w:ascii="Times New Roman" w:eastAsia="Times New Roman" w:hAnsi="Times New Roman" w:cs="Times New Roman"/>
                <w:sz w:val="24"/>
                <w:szCs w:val="24"/>
                <w:lang w:eastAsia="ro-MD"/>
              </w:rPr>
              <w:t xml:space="preserve"> și</w:t>
            </w:r>
            <w:r w:rsidRPr="009F3ADA">
              <w:rPr>
                <w:rFonts w:ascii="Times New Roman" w:eastAsia="Times New Roman" w:hAnsi="Times New Roman" w:cs="Times New Roman"/>
                <w:sz w:val="24"/>
                <w:szCs w:val="24"/>
                <w:lang w:eastAsia="ro-MD"/>
              </w:rPr>
              <w:t xml:space="preserve"> </w:t>
            </w:r>
            <w:r w:rsidR="007A2B4C" w:rsidRPr="009F3ADA">
              <w:rPr>
                <w:rFonts w:ascii="Times New Roman" w:eastAsia="Times New Roman" w:hAnsi="Times New Roman" w:cs="Times New Roman"/>
                <w:sz w:val="24"/>
                <w:szCs w:val="24"/>
                <w:lang w:eastAsia="ro-MD"/>
              </w:rPr>
              <w:t>99</w:t>
            </w:r>
            <w:r w:rsidRPr="009F3ADA">
              <w:rPr>
                <w:rFonts w:ascii="Times New Roman" w:eastAsia="Times New Roman" w:hAnsi="Times New Roman" w:cs="Times New Roman"/>
                <w:sz w:val="24"/>
                <w:szCs w:val="24"/>
                <w:lang w:eastAsia="ro-MD"/>
              </w:rPr>
              <w:t>-10</w:t>
            </w:r>
            <w:r w:rsidR="007A2B4C" w:rsidRPr="009F3ADA">
              <w:rPr>
                <w:rFonts w:ascii="Times New Roman" w:eastAsia="Times New Roman" w:hAnsi="Times New Roman" w:cs="Times New Roman"/>
                <w:sz w:val="24"/>
                <w:szCs w:val="24"/>
                <w:lang w:eastAsia="ro-MD"/>
              </w:rPr>
              <w:t>5</w:t>
            </w:r>
            <w:r w:rsidRPr="009F3ADA">
              <w:rPr>
                <w:rFonts w:ascii="Times New Roman" w:eastAsia="Times New Roman" w:hAnsi="Times New Roman" w:cs="Times New Roman"/>
                <w:sz w:val="24"/>
                <w:szCs w:val="24"/>
                <w:lang w:eastAsia="ro-MD"/>
              </w:rPr>
              <w:t xml:space="preserve"> din Regulamentul</w:t>
            </w:r>
            <w:r w:rsidR="00E972F3" w:rsidRPr="009F3ADA">
              <w:rPr>
                <w:kern w:val="0"/>
                <w14:ligatures w14:val="none"/>
              </w:rPr>
              <w:t xml:space="preserve">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A43D16"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w:t>
            </w:r>
          </w:p>
          <w:p w14:paraId="29CFD54B" w14:textId="77777777" w:rsidR="00B616C1" w:rsidRPr="009F3ADA" w:rsidRDefault="00B616C1" w:rsidP="00F1512E">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Costul de înlocuire (RC) pentru fiecare set de compensare se calculează în conformitate cu:</w:t>
            </w:r>
          </w:p>
          <w:p w14:paraId="30BEAE4F" w14:textId="76947B7F" w:rsidR="00B616C1" w:rsidRPr="009F3ADA" w:rsidRDefault="00B616C1" w:rsidP="00F1512E">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 punctele </w:t>
            </w:r>
            <w:r w:rsidR="007A2B4C" w:rsidRPr="009F3ADA">
              <w:rPr>
                <w:rFonts w:ascii="Times New Roman" w:eastAsia="Times New Roman" w:hAnsi="Times New Roman" w:cs="Times New Roman"/>
                <w:sz w:val="24"/>
                <w:szCs w:val="24"/>
                <w:lang w:eastAsia="ro-MD"/>
              </w:rPr>
              <w:t>99-100</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pentru SA-CCR simplificată;</w:t>
            </w:r>
          </w:p>
          <w:p w14:paraId="1E31E80A" w14:textId="154A56D9" w:rsidR="00B616C1" w:rsidRPr="009F3ADA" w:rsidRDefault="00B616C1" w:rsidP="00F1512E">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punctele 4</w:t>
            </w:r>
            <w:r w:rsidR="007A2B4C" w:rsidRPr="009F3ADA">
              <w:rPr>
                <w:rFonts w:ascii="Times New Roman" w:eastAsia="Times New Roman" w:hAnsi="Times New Roman" w:cs="Times New Roman"/>
                <w:sz w:val="24"/>
                <w:szCs w:val="24"/>
                <w:lang w:eastAsia="ro-MD"/>
              </w:rPr>
              <w:t>9</w:t>
            </w:r>
            <w:r w:rsidRPr="009F3ADA">
              <w:rPr>
                <w:rFonts w:ascii="Times New Roman" w:eastAsia="Times New Roman" w:hAnsi="Times New Roman" w:cs="Times New Roman"/>
                <w:sz w:val="24"/>
                <w:szCs w:val="24"/>
                <w:lang w:eastAsia="ro-MD"/>
              </w:rPr>
              <w:t>-</w:t>
            </w:r>
            <w:r w:rsidR="007A2B4C" w:rsidRPr="009F3ADA">
              <w:rPr>
                <w:rFonts w:ascii="Times New Roman" w:eastAsia="Times New Roman" w:hAnsi="Times New Roman" w:cs="Times New Roman"/>
                <w:sz w:val="24"/>
                <w:szCs w:val="24"/>
                <w:lang w:eastAsia="ro-MD"/>
              </w:rPr>
              <w:t>51</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7B9F8B37" w14:textId="4E06A36F"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 xml:space="preserve">Banca </w:t>
            </w:r>
            <w:r w:rsidR="004C1983" w:rsidRPr="009F3ADA">
              <w:rPr>
                <w:rFonts w:ascii="Times New Roman" w:eastAsia="Times New Roman" w:hAnsi="Times New Roman" w:cs="Times New Roman"/>
                <w:sz w:val="24"/>
                <w:szCs w:val="24"/>
                <w:lang w:eastAsia="ro-MD"/>
              </w:rPr>
              <w:t xml:space="preserve">reflectă </w:t>
            </w:r>
            <w:r w:rsidRPr="009F3ADA">
              <w:rPr>
                <w:rFonts w:ascii="Times New Roman" w:eastAsia="Times New Roman" w:hAnsi="Times New Roman" w:cs="Times New Roman"/>
                <w:sz w:val="24"/>
                <w:szCs w:val="24"/>
                <w:lang w:eastAsia="ro-MD"/>
              </w:rPr>
              <w:t>suma costurilor de înlocuire pentru seturile de compensare pe rândul corespunzător.</w:t>
            </w:r>
          </w:p>
        </w:tc>
        <w:tc>
          <w:tcPr>
            <w:tcW w:w="1134" w:type="dxa"/>
          </w:tcPr>
          <w:p w14:paraId="65058B89"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14050371" w14:textId="20C6F3F1" w:rsidTr="009A3811">
        <w:tc>
          <w:tcPr>
            <w:tcW w:w="0" w:type="auto"/>
            <w:hideMark/>
          </w:tcPr>
          <w:p w14:paraId="26F6D06D"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0110</w:t>
            </w:r>
          </w:p>
        </w:tc>
        <w:tc>
          <w:tcPr>
            <w:tcW w:w="7927" w:type="dxa"/>
            <w:hideMark/>
          </w:tcPr>
          <w:p w14:paraId="65A6BE9C"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EXPUNEREA VIITOARE POTENȚIALĂ (PFE)</w:t>
            </w:r>
          </w:p>
          <w:p w14:paraId="4E34B0DF" w14:textId="239E3BE5" w:rsidR="00B616C1" w:rsidRPr="009F3ADA" w:rsidRDefault="00B616C1" w:rsidP="00A734CA">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Punctele </w:t>
            </w:r>
            <w:r w:rsidR="004B096A" w:rsidRPr="009F3ADA">
              <w:rPr>
                <w:rFonts w:ascii="Times New Roman" w:eastAsia="Times New Roman" w:hAnsi="Times New Roman" w:cs="Times New Roman"/>
                <w:sz w:val="24"/>
                <w:szCs w:val="24"/>
                <w:lang w:eastAsia="ro-MD"/>
              </w:rPr>
              <w:t>66</w:t>
            </w:r>
            <w:r w:rsidRPr="009F3ADA">
              <w:rPr>
                <w:rFonts w:ascii="Times New Roman" w:eastAsia="Times New Roman" w:hAnsi="Times New Roman" w:cs="Times New Roman"/>
                <w:sz w:val="24"/>
                <w:szCs w:val="24"/>
                <w:lang w:eastAsia="ro-MD"/>
              </w:rPr>
              <w:t>-6</w:t>
            </w:r>
            <w:r w:rsidR="004B096A" w:rsidRPr="009F3ADA">
              <w:rPr>
                <w:rFonts w:ascii="Times New Roman" w:eastAsia="Times New Roman" w:hAnsi="Times New Roman" w:cs="Times New Roman"/>
                <w:sz w:val="24"/>
                <w:szCs w:val="24"/>
                <w:lang w:eastAsia="ro-MD"/>
              </w:rPr>
              <w:t>8</w:t>
            </w:r>
            <w:r w:rsidR="004C1983" w:rsidRPr="009F3ADA">
              <w:rPr>
                <w:rFonts w:ascii="Times New Roman" w:eastAsia="Times New Roman" w:hAnsi="Times New Roman" w:cs="Times New Roman"/>
                <w:sz w:val="24"/>
                <w:szCs w:val="24"/>
                <w:lang w:eastAsia="ro-MD"/>
              </w:rPr>
              <w:t xml:space="preserve"> și</w:t>
            </w:r>
            <w:r w:rsidRPr="009F3ADA">
              <w:rPr>
                <w:rFonts w:ascii="Times New Roman" w:eastAsia="Times New Roman" w:hAnsi="Times New Roman" w:cs="Times New Roman"/>
                <w:sz w:val="24"/>
                <w:szCs w:val="24"/>
                <w:lang w:eastAsia="ro-MD"/>
              </w:rPr>
              <w:t xml:space="preserve"> 9</w:t>
            </w:r>
            <w:r w:rsidR="004B096A" w:rsidRPr="009F3ADA">
              <w:rPr>
                <w:rFonts w:ascii="Times New Roman" w:eastAsia="Times New Roman" w:hAnsi="Times New Roman" w:cs="Times New Roman"/>
                <w:sz w:val="24"/>
                <w:szCs w:val="24"/>
                <w:lang w:eastAsia="ro-MD"/>
              </w:rPr>
              <w:t>9</w:t>
            </w:r>
            <w:r w:rsidRPr="009F3ADA">
              <w:rPr>
                <w:rFonts w:ascii="Times New Roman" w:eastAsia="Times New Roman" w:hAnsi="Times New Roman" w:cs="Times New Roman"/>
                <w:sz w:val="24"/>
                <w:szCs w:val="24"/>
                <w:lang w:eastAsia="ro-MD"/>
              </w:rPr>
              <w:t>-10</w:t>
            </w:r>
            <w:r w:rsidR="004B096A" w:rsidRPr="009F3ADA">
              <w:rPr>
                <w:rFonts w:ascii="Times New Roman" w:eastAsia="Times New Roman" w:hAnsi="Times New Roman" w:cs="Times New Roman"/>
                <w:sz w:val="24"/>
                <w:szCs w:val="24"/>
                <w:lang w:eastAsia="ro-MD"/>
              </w:rPr>
              <w:t>5</w:t>
            </w:r>
            <w:r w:rsidRPr="009F3ADA">
              <w:rPr>
                <w:rFonts w:ascii="Times New Roman" w:eastAsia="Times New Roman" w:hAnsi="Times New Roman" w:cs="Times New Roman"/>
                <w:sz w:val="24"/>
                <w:szCs w:val="24"/>
                <w:lang w:eastAsia="ro-MD"/>
              </w:rPr>
              <w:t xml:space="preserve"> din Regulamentul</w:t>
            </w:r>
            <w:r w:rsidR="00E972F3" w:rsidRPr="009F3ADA">
              <w:rPr>
                <w:kern w:val="0"/>
                <w14:ligatures w14:val="none"/>
              </w:rPr>
              <w:t xml:space="preserve"> </w:t>
            </w:r>
            <w:r w:rsidR="00E972F3" w:rsidRPr="009F3ADA">
              <w:rPr>
                <w:rFonts w:ascii="Times New Roman" w:eastAsia="Times New Roman" w:hAnsi="Times New Roman" w:cs="Times New Roman"/>
                <w:sz w:val="24"/>
                <w:szCs w:val="24"/>
                <w:lang w:eastAsia="ro-MD"/>
              </w:rPr>
              <w:t>nr.220/2025</w:t>
            </w:r>
            <w:r w:rsidRPr="009F3ADA">
              <w:rPr>
                <w:rFonts w:ascii="Times New Roman" w:eastAsia="Times New Roman" w:hAnsi="Times New Roman" w:cs="Times New Roman"/>
                <w:sz w:val="24"/>
                <w:szCs w:val="24"/>
                <w:lang w:eastAsia="ro-MD"/>
              </w:rPr>
              <w:t xml:space="preserve"> 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089FFF05"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Expunerea viitoare potențială (PFE) pentru fiecare set de compensare se calculează în conformitate cu:</w:t>
            </w:r>
          </w:p>
          <w:p w14:paraId="7D07068E" w14:textId="086C923E" w:rsidR="00B616C1" w:rsidRPr="009F3ADA" w:rsidRDefault="00B616C1" w:rsidP="00A734CA">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punct</w:t>
            </w:r>
            <w:r w:rsidR="004B096A" w:rsidRPr="009F3ADA">
              <w:rPr>
                <w:rFonts w:ascii="Times New Roman" w:eastAsia="Times New Roman" w:hAnsi="Times New Roman" w:cs="Times New Roman"/>
                <w:sz w:val="24"/>
                <w:szCs w:val="24"/>
                <w:lang w:eastAsia="ro-MD"/>
              </w:rPr>
              <w:t xml:space="preserve">ele </w:t>
            </w:r>
            <w:r w:rsidRPr="009F3ADA">
              <w:rPr>
                <w:rFonts w:ascii="Times New Roman" w:eastAsia="Times New Roman" w:hAnsi="Times New Roman" w:cs="Times New Roman"/>
                <w:sz w:val="24"/>
                <w:szCs w:val="24"/>
                <w:lang w:eastAsia="ro-MD"/>
              </w:rPr>
              <w:t>10</w:t>
            </w:r>
            <w:r w:rsidR="004B096A" w:rsidRPr="009F3ADA">
              <w:rPr>
                <w:rFonts w:ascii="Times New Roman" w:eastAsia="Times New Roman" w:hAnsi="Times New Roman" w:cs="Times New Roman"/>
                <w:sz w:val="24"/>
                <w:szCs w:val="24"/>
                <w:lang w:eastAsia="ro-MD"/>
              </w:rPr>
              <w:t>4 și 105</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pentru metoda expunerii inițiale;</w:t>
            </w:r>
          </w:p>
          <w:p w14:paraId="11936814" w14:textId="3A9DB73C" w:rsidR="00B616C1" w:rsidRPr="009F3ADA" w:rsidRDefault="00B616C1" w:rsidP="00A734CA">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punctele 9</w:t>
            </w:r>
            <w:r w:rsidR="004B096A" w:rsidRPr="009F3ADA">
              <w:rPr>
                <w:rFonts w:ascii="Times New Roman" w:eastAsia="Times New Roman" w:hAnsi="Times New Roman" w:cs="Times New Roman"/>
                <w:sz w:val="24"/>
                <w:szCs w:val="24"/>
                <w:lang w:eastAsia="ro-MD"/>
              </w:rPr>
              <w:t>9</w:t>
            </w:r>
            <w:r w:rsidRPr="009F3ADA">
              <w:rPr>
                <w:rFonts w:ascii="Times New Roman" w:eastAsia="Times New Roman" w:hAnsi="Times New Roman" w:cs="Times New Roman"/>
                <w:sz w:val="24"/>
                <w:szCs w:val="24"/>
                <w:lang w:eastAsia="ro-MD"/>
              </w:rPr>
              <w:t xml:space="preserve"> și </w:t>
            </w:r>
            <w:r w:rsidR="004B096A" w:rsidRPr="009F3ADA">
              <w:rPr>
                <w:rFonts w:ascii="Times New Roman" w:eastAsia="Times New Roman" w:hAnsi="Times New Roman" w:cs="Times New Roman"/>
                <w:sz w:val="24"/>
                <w:szCs w:val="24"/>
                <w:lang w:eastAsia="ro-MD"/>
              </w:rPr>
              <w:t>100</w:t>
            </w:r>
            <w:r w:rsidRPr="009F3ADA">
              <w:rPr>
                <w:rFonts w:ascii="Times New Roman" w:eastAsia="Times New Roman" w:hAnsi="Times New Roman" w:cs="Times New Roman"/>
                <w:sz w:val="24"/>
                <w:szCs w:val="24"/>
                <w:lang w:eastAsia="ro-MD"/>
              </w:rPr>
              <w:t xml:space="preserve"> din Regulamentul 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pentru SA-CCR simplificată;</w:t>
            </w:r>
          </w:p>
          <w:p w14:paraId="5F0C8FB8" w14:textId="682E6086" w:rsidR="00B616C1" w:rsidRPr="009F3ADA" w:rsidRDefault="00B616C1" w:rsidP="00A734CA">
            <w:pPr>
              <w:spacing w:before="100" w:beforeAutospacing="1" w:after="100" w:afterAutospacing="1"/>
              <w:ind w:left="22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punctele 6</w:t>
            </w:r>
            <w:r w:rsidR="004B096A" w:rsidRPr="009F3ADA">
              <w:rPr>
                <w:rFonts w:ascii="Times New Roman" w:eastAsia="Times New Roman" w:hAnsi="Times New Roman" w:cs="Times New Roman"/>
                <w:sz w:val="24"/>
                <w:szCs w:val="24"/>
                <w:lang w:eastAsia="ro-MD"/>
              </w:rPr>
              <w:t>6</w:t>
            </w:r>
            <w:r w:rsidRPr="009F3ADA">
              <w:rPr>
                <w:rFonts w:ascii="Times New Roman" w:eastAsia="Times New Roman" w:hAnsi="Times New Roman" w:cs="Times New Roman"/>
                <w:sz w:val="24"/>
                <w:szCs w:val="24"/>
                <w:lang w:eastAsia="ro-MD"/>
              </w:rPr>
              <w:t>-6</w:t>
            </w:r>
            <w:r w:rsidR="004B096A" w:rsidRPr="009F3ADA">
              <w:rPr>
                <w:rFonts w:ascii="Times New Roman" w:eastAsia="Times New Roman" w:hAnsi="Times New Roman" w:cs="Times New Roman"/>
                <w:sz w:val="24"/>
                <w:szCs w:val="24"/>
                <w:lang w:eastAsia="ro-MD"/>
              </w:rPr>
              <w:t>8</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pentru SA-CCR.</w:t>
            </w:r>
          </w:p>
          <w:p w14:paraId="7FF2787B" w14:textId="1C8FFA7E"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Banca </w:t>
            </w:r>
            <w:r w:rsidR="004C1983" w:rsidRPr="009F3ADA">
              <w:rPr>
                <w:rFonts w:ascii="Times New Roman" w:eastAsia="Times New Roman" w:hAnsi="Times New Roman" w:cs="Times New Roman"/>
                <w:sz w:val="24"/>
                <w:szCs w:val="24"/>
                <w:lang w:eastAsia="ro-MD"/>
              </w:rPr>
              <w:t xml:space="preserve">reflectă </w:t>
            </w:r>
            <w:r w:rsidRPr="009F3ADA">
              <w:rPr>
                <w:rFonts w:ascii="Times New Roman" w:eastAsia="Times New Roman" w:hAnsi="Times New Roman" w:cs="Times New Roman"/>
                <w:sz w:val="24"/>
                <w:szCs w:val="24"/>
                <w:lang w:eastAsia="ro-MD"/>
              </w:rPr>
              <w:t>suma tuturor expunerilor viitoare potențiale pentru seturile de compensare pe rândul corespunzător.</w:t>
            </w:r>
          </w:p>
        </w:tc>
        <w:tc>
          <w:tcPr>
            <w:tcW w:w="1134" w:type="dxa"/>
          </w:tcPr>
          <w:p w14:paraId="0B8930FB"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5883E037" w14:textId="2928CB27" w:rsidTr="009A3811">
        <w:tc>
          <w:tcPr>
            <w:tcW w:w="0" w:type="auto"/>
            <w:hideMark/>
          </w:tcPr>
          <w:p w14:paraId="1F61CA2A"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0120</w:t>
            </w:r>
          </w:p>
        </w:tc>
        <w:tc>
          <w:tcPr>
            <w:tcW w:w="7927" w:type="dxa"/>
            <w:hideMark/>
          </w:tcPr>
          <w:p w14:paraId="6C9CDAD4" w14:textId="54478166"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EXPUNEREA CURENTĂ</w:t>
            </w:r>
          </w:p>
        </w:tc>
        <w:tc>
          <w:tcPr>
            <w:tcW w:w="1134" w:type="dxa"/>
          </w:tcPr>
          <w:p w14:paraId="1D0652F7" w14:textId="237BC8F5"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B616C1" w:rsidRPr="009F3ADA" w14:paraId="7FC93D4B" w14:textId="16A97F43" w:rsidTr="009A3811">
        <w:tc>
          <w:tcPr>
            <w:tcW w:w="0" w:type="auto"/>
            <w:hideMark/>
          </w:tcPr>
          <w:p w14:paraId="563D78B8"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0130</w:t>
            </w:r>
          </w:p>
        </w:tc>
        <w:tc>
          <w:tcPr>
            <w:tcW w:w="7927" w:type="dxa"/>
            <w:hideMark/>
          </w:tcPr>
          <w:p w14:paraId="2682B793" w14:textId="55EED035"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EXPUNEREA POZITIVĂ AȘTEPTATĂ EFECTIVĂ (EEPE)</w:t>
            </w:r>
          </w:p>
        </w:tc>
        <w:tc>
          <w:tcPr>
            <w:tcW w:w="1134" w:type="dxa"/>
          </w:tcPr>
          <w:p w14:paraId="7F83E349" w14:textId="520C5D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B616C1" w:rsidRPr="009F3ADA" w14:paraId="30FA423F" w14:textId="01B35F56" w:rsidTr="009A3811">
        <w:tc>
          <w:tcPr>
            <w:tcW w:w="0" w:type="auto"/>
            <w:hideMark/>
          </w:tcPr>
          <w:p w14:paraId="66415D9B"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0140</w:t>
            </w:r>
          </w:p>
        </w:tc>
        <w:tc>
          <w:tcPr>
            <w:tcW w:w="7927" w:type="dxa"/>
            <w:hideMark/>
          </w:tcPr>
          <w:p w14:paraId="74B0EAC8"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ALFA UTILIZAT PENTRU CALCULAREA VALORII EXPUNERII REGLEMENTATE</w:t>
            </w:r>
          </w:p>
          <w:p w14:paraId="3794F041" w14:textId="3AE94024" w:rsidR="00B616C1" w:rsidRPr="009F3ADA" w:rsidRDefault="00B616C1" w:rsidP="00B46F8B">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Punctele 4</w:t>
            </w:r>
            <w:r w:rsidR="00EF113E" w:rsidRPr="009F3ADA">
              <w:rPr>
                <w:rFonts w:ascii="Times New Roman" w:eastAsia="Times New Roman" w:hAnsi="Times New Roman" w:cs="Times New Roman"/>
                <w:sz w:val="24"/>
                <w:szCs w:val="24"/>
                <w:lang w:eastAsia="ro-MD"/>
              </w:rPr>
              <w:t>1</w:t>
            </w:r>
            <w:r w:rsidRPr="009F3ADA">
              <w:rPr>
                <w:rFonts w:ascii="Times New Roman" w:eastAsia="Times New Roman" w:hAnsi="Times New Roman" w:cs="Times New Roman"/>
                <w:sz w:val="24"/>
                <w:szCs w:val="24"/>
                <w:lang w:eastAsia="ro-MD"/>
              </w:rPr>
              <w:t xml:space="preserve">, </w:t>
            </w:r>
            <w:r w:rsidR="00EF113E" w:rsidRPr="009F3ADA">
              <w:rPr>
                <w:rFonts w:ascii="Times New Roman" w:eastAsia="Times New Roman" w:hAnsi="Times New Roman" w:cs="Times New Roman"/>
                <w:sz w:val="24"/>
                <w:szCs w:val="24"/>
                <w:lang w:eastAsia="ro-MD"/>
              </w:rPr>
              <w:t>99 și 102</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2B6085D0" w14:textId="7B59087A" w:rsidR="00B616C1" w:rsidRPr="009F3ADA" w:rsidRDefault="00B616C1" w:rsidP="00321A0B">
            <w:pPr>
              <w:spacing w:before="100" w:beforeAutospacing="1" w:after="100" w:afterAutospacing="1"/>
              <w:ind w:left="79"/>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lui α este stabilită la 1,4 pe rândurile corespunzătoare metodei expunerii inițiale, SA-CCR simplificate și SA-CCR în conformitate cu punctele 4</w:t>
            </w:r>
            <w:r w:rsidR="00EF113E" w:rsidRPr="009F3ADA">
              <w:rPr>
                <w:rFonts w:ascii="Times New Roman" w:eastAsia="Times New Roman" w:hAnsi="Times New Roman" w:cs="Times New Roman"/>
                <w:sz w:val="24"/>
                <w:szCs w:val="24"/>
                <w:lang w:eastAsia="ro-MD"/>
              </w:rPr>
              <w:t>1</w:t>
            </w:r>
            <w:r w:rsidRPr="009F3ADA">
              <w:rPr>
                <w:rFonts w:ascii="Times New Roman" w:eastAsia="Times New Roman" w:hAnsi="Times New Roman" w:cs="Times New Roman"/>
                <w:sz w:val="24"/>
                <w:szCs w:val="24"/>
                <w:lang w:eastAsia="ro-MD"/>
              </w:rPr>
              <w:t>, 9</w:t>
            </w:r>
            <w:r w:rsidR="00EF113E" w:rsidRPr="009F3ADA">
              <w:rPr>
                <w:rFonts w:ascii="Times New Roman" w:eastAsia="Times New Roman" w:hAnsi="Times New Roman" w:cs="Times New Roman"/>
                <w:sz w:val="24"/>
                <w:szCs w:val="24"/>
                <w:lang w:eastAsia="ro-MD"/>
              </w:rPr>
              <w:t>9</w:t>
            </w:r>
            <w:r w:rsidRPr="009F3ADA">
              <w:rPr>
                <w:rFonts w:ascii="Times New Roman" w:eastAsia="Times New Roman" w:hAnsi="Times New Roman" w:cs="Times New Roman"/>
                <w:sz w:val="24"/>
                <w:szCs w:val="24"/>
                <w:lang w:eastAsia="ro-MD"/>
              </w:rPr>
              <w:t xml:space="preserve"> și 10</w:t>
            </w:r>
            <w:r w:rsidR="00EF113E" w:rsidRPr="009F3ADA">
              <w:rPr>
                <w:rFonts w:ascii="Times New Roman" w:eastAsia="Times New Roman" w:hAnsi="Times New Roman" w:cs="Times New Roman"/>
                <w:sz w:val="24"/>
                <w:szCs w:val="24"/>
                <w:lang w:eastAsia="ro-MD"/>
              </w:rPr>
              <w:t>2</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tc>
        <w:tc>
          <w:tcPr>
            <w:tcW w:w="1134" w:type="dxa"/>
          </w:tcPr>
          <w:p w14:paraId="595D0470"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0DA35FB2" w14:textId="60801E3F" w:rsidTr="009A3811">
        <w:tc>
          <w:tcPr>
            <w:tcW w:w="0" w:type="auto"/>
            <w:hideMark/>
          </w:tcPr>
          <w:p w14:paraId="0BCC41E2"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0150</w:t>
            </w:r>
          </w:p>
        </w:tc>
        <w:tc>
          <w:tcPr>
            <w:tcW w:w="7927" w:type="dxa"/>
            <w:hideMark/>
          </w:tcPr>
          <w:p w14:paraId="642C2C10" w14:textId="45BFD78E" w:rsidR="00455C08" w:rsidRPr="009F3ADA" w:rsidRDefault="00B616C1" w:rsidP="00EB0B1D">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ÎNAINTE DE </w:t>
            </w:r>
            <w:r w:rsidR="00455C08" w:rsidRPr="009F3ADA">
              <w:rPr>
                <w:rFonts w:ascii="Times New Roman" w:eastAsia="Times New Roman" w:hAnsi="Times New Roman" w:cs="Times New Roman"/>
                <w:sz w:val="24"/>
                <w:szCs w:val="24"/>
                <w:lang w:eastAsia="ro-MD"/>
              </w:rPr>
              <w:t>APLICAREA TEHNICILOR CRM</w:t>
            </w:r>
          </w:p>
        </w:tc>
        <w:tc>
          <w:tcPr>
            <w:tcW w:w="1134" w:type="dxa"/>
          </w:tcPr>
          <w:p w14:paraId="2E153466" w14:textId="604002EB" w:rsidR="00B616C1" w:rsidRPr="009F3ADA" w:rsidRDefault="00985D67"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B616C1" w:rsidRPr="009F3ADA" w14:paraId="72B0831D" w14:textId="7E87FAE7" w:rsidTr="009A3811">
        <w:tc>
          <w:tcPr>
            <w:tcW w:w="0" w:type="auto"/>
            <w:hideMark/>
          </w:tcPr>
          <w:p w14:paraId="4F9AE922"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0160</w:t>
            </w:r>
          </w:p>
        </w:tc>
        <w:tc>
          <w:tcPr>
            <w:tcW w:w="7927" w:type="dxa"/>
            <w:hideMark/>
          </w:tcPr>
          <w:p w14:paraId="74FB95D8" w14:textId="27F2ABC3" w:rsidR="00B616C1" w:rsidRPr="009F3ADA" w:rsidRDefault="00B616C1" w:rsidP="004613AF">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DUPĂ </w:t>
            </w:r>
            <w:r w:rsidR="00455C08" w:rsidRPr="009F3ADA">
              <w:rPr>
                <w:rFonts w:ascii="Times New Roman" w:eastAsia="Times New Roman" w:hAnsi="Times New Roman" w:cs="Times New Roman"/>
                <w:sz w:val="24"/>
                <w:szCs w:val="24"/>
                <w:lang w:eastAsia="ro-MD"/>
              </w:rPr>
              <w:t>APLICAREA TEHNICILOR CRM</w:t>
            </w:r>
          </w:p>
        </w:tc>
        <w:tc>
          <w:tcPr>
            <w:tcW w:w="1134" w:type="dxa"/>
          </w:tcPr>
          <w:p w14:paraId="41B1658E" w14:textId="4481990C" w:rsidR="00B616C1" w:rsidRPr="009F3ADA" w:rsidRDefault="000C2DA0"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B616C1" w:rsidRPr="009F3ADA" w14:paraId="62BDA768" w14:textId="4D91D951" w:rsidTr="009A3811">
        <w:tc>
          <w:tcPr>
            <w:tcW w:w="0" w:type="auto"/>
            <w:hideMark/>
          </w:tcPr>
          <w:p w14:paraId="78A2F547"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0170</w:t>
            </w:r>
          </w:p>
        </w:tc>
        <w:tc>
          <w:tcPr>
            <w:tcW w:w="7927" w:type="dxa"/>
            <w:hideMark/>
          </w:tcPr>
          <w:p w14:paraId="1EA8ADD7"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EXPUNERII</w:t>
            </w:r>
          </w:p>
          <w:p w14:paraId="53C70B0F" w14:textId="30328592" w:rsidR="00B616C1" w:rsidRPr="009F3ADA" w:rsidRDefault="00B616C1" w:rsidP="00321A0B">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pentru seturile de compensare a riscului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calculată în conformitate cu metodele prevăzute </w:t>
            </w:r>
            <w:r w:rsidR="00010D13" w:rsidRPr="009F3ADA">
              <w:rPr>
                <w:rFonts w:ascii="Times New Roman" w:eastAsia="Times New Roman" w:hAnsi="Times New Roman" w:cs="Times New Roman"/>
                <w:sz w:val="24"/>
                <w:szCs w:val="24"/>
                <w:lang w:eastAsia="ro-MD"/>
              </w:rPr>
              <w:t xml:space="preserve">de </w:t>
            </w:r>
            <w:r w:rsidR="000C2DA0" w:rsidRPr="009F3ADA">
              <w:rPr>
                <w:rFonts w:ascii="Times New Roman" w:eastAsia="Times New Roman" w:hAnsi="Times New Roman" w:cs="Times New Roman"/>
                <w:sz w:val="24"/>
                <w:szCs w:val="24"/>
                <w:lang w:eastAsia="ro-MD"/>
              </w:rPr>
              <w:t xml:space="preserve">Regulamentul nr.112/2018 cu privire la tehnicile de diminuare a riscului de credit utilizate de bănci și Regulamentul </w:t>
            </w:r>
            <w:r w:rsidR="00E972F3" w:rsidRPr="009F3ADA">
              <w:rPr>
                <w:rFonts w:ascii="Times New Roman" w:eastAsia="Times New Roman" w:hAnsi="Times New Roman" w:cs="Times New Roman"/>
                <w:sz w:val="24"/>
                <w:szCs w:val="24"/>
                <w:lang w:eastAsia="ro-MD"/>
              </w:rPr>
              <w:t xml:space="preserve">nr.220/2025 </w:t>
            </w:r>
            <w:r w:rsidR="000C2DA0" w:rsidRPr="009F3ADA">
              <w:rPr>
                <w:rFonts w:ascii="Times New Roman" w:eastAsia="Times New Roman" w:hAnsi="Times New Roman" w:cs="Times New Roman"/>
                <w:sz w:val="24"/>
                <w:szCs w:val="24"/>
                <w:lang w:eastAsia="ro-MD"/>
              </w:rPr>
              <w:t xml:space="preserve">cu privire la tratamentul riscului de credit al </w:t>
            </w:r>
            <w:proofErr w:type="spellStart"/>
            <w:r w:rsidR="000C2DA0" w:rsidRPr="009F3ADA">
              <w:rPr>
                <w:rFonts w:ascii="Times New Roman" w:eastAsia="Times New Roman" w:hAnsi="Times New Roman" w:cs="Times New Roman"/>
                <w:sz w:val="24"/>
                <w:szCs w:val="24"/>
                <w:lang w:eastAsia="ro-MD"/>
              </w:rPr>
              <w:t>contrapărţii</w:t>
            </w:r>
            <w:proofErr w:type="spellEnd"/>
            <w:r w:rsidR="000C2DA0"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 xml:space="preserve">, care reprezintă cuantumul relevant pentru calcularea cuantumurilor ponderate la risc ale expunerilor, cu alte cuvinte după aplicarea tehnicilor de diminuare a riscului de credit aplicabile în conformitate cu </w:t>
            </w:r>
            <w:r w:rsidR="000C2DA0" w:rsidRPr="009F3ADA">
              <w:rPr>
                <w:rFonts w:ascii="Times New Roman" w:eastAsia="Times New Roman" w:hAnsi="Times New Roman" w:cs="Times New Roman"/>
                <w:sz w:val="24"/>
                <w:szCs w:val="24"/>
                <w:lang w:eastAsia="ro-MD"/>
              </w:rPr>
              <w:t xml:space="preserve">Regulamentul nr.112/2018 cu privire la tehnicile de diminuare a riscului de credit utilizate de bănci și Regulamentul </w:t>
            </w:r>
            <w:r w:rsidR="00E972F3" w:rsidRPr="009F3ADA">
              <w:rPr>
                <w:rFonts w:ascii="Times New Roman" w:eastAsia="Times New Roman" w:hAnsi="Times New Roman" w:cs="Times New Roman"/>
                <w:sz w:val="24"/>
                <w:szCs w:val="24"/>
                <w:lang w:eastAsia="ro-MD"/>
              </w:rPr>
              <w:t xml:space="preserve">nr.220/2025 </w:t>
            </w:r>
            <w:r w:rsidR="000C2DA0" w:rsidRPr="009F3ADA">
              <w:rPr>
                <w:rFonts w:ascii="Times New Roman" w:eastAsia="Times New Roman" w:hAnsi="Times New Roman" w:cs="Times New Roman"/>
                <w:sz w:val="24"/>
                <w:szCs w:val="24"/>
                <w:lang w:eastAsia="ro-MD"/>
              </w:rPr>
              <w:t xml:space="preserve">cu privire la tratamentul riscului de credit al </w:t>
            </w:r>
            <w:proofErr w:type="spellStart"/>
            <w:r w:rsidR="000C2DA0" w:rsidRPr="009F3ADA">
              <w:rPr>
                <w:rFonts w:ascii="Times New Roman" w:eastAsia="Times New Roman" w:hAnsi="Times New Roman" w:cs="Times New Roman"/>
                <w:sz w:val="24"/>
                <w:szCs w:val="24"/>
                <w:lang w:eastAsia="ro-MD"/>
              </w:rPr>
              <w:t>contrapărţii</w:t>
            </w:r>
            <w:proofErr w:type="spellEnd"/>
            <w:r w:rsidR="000C2DA0" w:rsidRPr="009F3ADA">
              <w:rPr>
                <w:rFonts w:ascii="Times New Roman" w:eastAsia="Times New Roman" w:hAnsi="Times New Roman" w:cs="Times New Roman"/>
                <w:sz w:val="24"/>
                <w:szCs w:val="24"/>
                <w:lang w:eastAsia="ro-MD"/>
              </w:rPr>
              <w:t xml:space="preserve"> pentru bănci </w:t>
            </w:r>
            <w:r w:rsidRPr="009F3ADA">
              <w:rPr>
                <w:rFonts w:ascii="Times New Roman" w:eastAsia="Times New Roman" w:hAnsi="Times New Roman" w:cs="Times New Roman"/>
                <w:sz w:val="24"/>
                <w:szCs w:val="24"/>
                <w:lang w:eastAsia="ro-MD"/>
              </w:rPr>
              <w:t xml:space="preserve">și luând în considerare deducerea pierderii rezultate din ajustarea valorii creditului în conformitate cu punctele </w:t>
            </w:r>
            <w:r w:rsidRPr="009F3ADA">
              <w:rPr>
                <w:rFonts w:ascii="Times New Roman" w:eastAsia="Times New Roman" w:hAnsi="Times New Roman" w:cs="Times New Roman"/>
                <w:sz w:val="24"/>
                <w:szCs w:val="24"/>
                <w:lang w:eastAsia="ro-MD"/>
              </w:rPr>
              <w:lastRenderedPageBreak/>
              <w:t xml:space="preserve">13-15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16000E67"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Pentru cazurile în care se utilizează mai mult de o abordare a riscului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pentru o singură </w:t>
            </w: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 xml:space="preserve">, pierderea rezultată din ajustarea valorii creditului, care este dedusă la nivelul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se atribuie valorii expunerii aferente diferitelor seturi de compensare pentru fiecare abordare a riscului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reflectând proporția valorii expunerii aferente seturilor de compensare respective după diminuarea riscului de credit în raport cu valoarea totală a expunerii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după diminuarea riscului de credit.</w:t>
            </w:r>
          </w:p>
          <w:p w14:paraId="1B3531A1" w14:textId="7429F612"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Banca raportează suma tuturor valorilor expunerilor pe rândul corespunzător.</w:t>
            </w:r>
          </w:p>
        </w:tc>
        <w:tc>
          <w:tcPr>
            <w:tcW w:w="1134" w:type="dxa"/>
          </w:tcPr>
          <w:p w14:paraId="6F4AE55E"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05507316" w14:textId="274E4B66" w:rsidTr="009A3811">
        <w:tc>
          <w:tcPr>
            <w:tcW w:w="0" w:type="auto"/>
            <w:hideMark/>
          </w:tcPr>
          <w:p w14:paraId="20CC2A48"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0180</w:t>
            </w:r>
          </w:p>
        </w:tc>
        <w:tc>
          <w:tcPr>
            <w:tcW w:w="7927" w:type="dxa"/>
            <w:hideMark/>
          </w:tcPr>
          <w:p w14:paraId="537EDC67"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Poziții tratate în cadrul abordării standardizate CR</w:t>
            </w:r>
          </w:p>
          <w:p w14:paraId="44DA49DD" w14:textId="6FE0ED94"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corespunzătoare pozițiilor care sunt tratate în cadrul abordării standardizate a riscului de credit în conformitate cu </w:t>
            </w:r>
            <w:r w:rsidR="00EE5E45" w:rsidRPr="009F3ADA">
              <w:rPr>
                <w:rFonts w:ascii="Times New Roman" w:eastAsia="Times New Roman" w:hAnsi="Times New Roman" w:cs="Times New Roman"/>
                <w:sz w:val="24"/>
                <w:szCs w:val="24"/>
                <w:lang w:eastAsia="ro-MD"/>
              </w:rPr>
              <w:t xml:space="preserve">Regulamentul nr.112/2018 cu privire la tehnicile de diminuare a riscului de credit utilizate de bănci și Regulamentul </w:t>
            </w:r>
            <w:r w:rsidR="00E972F3" w:rsidRPr="009F3ADA">
              <w:rPr>
                <w:rFonts w:ascii="Times New Roman" w:eastAsia="Times New Roman" w:hAnsi="Times New Roman" w:cs="Times New Roman"/>
                <w:sz w:val="24"/>
                <w:szCs w:val="24"/>
                <w:lang w:eastAsia="ro-MD"/>
              </w:rPr>
              <w:t xml:space="preserve">nr.220/2025 </w:t>
            </w:r>
            <w:r w:rsidR="00EE5E45" w:rsidRPr="009F3ADA">
              <w:rPr>
                <w:rFonts w:ascii="Times New Roman" w:eastAsia="Times New Roman" w:hAnsi="Times New Roman" w:cs="Times New Roman"/>
                <w:sz w:val="24"/>
                <w:szCs w:val="24"/>
                <w:lang w:eastAsia="ro-MD"/>
              </w:rPr>
              <w:t xml:space="preserve">cu privire la tratamentul riscului de credit al </w:t>
            </w:r>
            <w:proofErr w:type="spellStart"/>
            <w:r w:rsidR="00EE5E45" w:rsidRPr="009F3ADA">
              <w:rPr>
                <w:rFonts w:ascii="Times New Roman" w:eastAsia="Times New Roman" w:hAnsi="Times New Roman" w:cs="Times New Roman"/>
                <w:sz w:val="24"/>
                <w:szCs w:val="24"/>
                <w:lang w:eastAsia="ro-MD"/>
              </w:rPr>
              <w:t>contrapărţii</w:t>
            </w:r>
            <w:proofErr w:type="spellEnd"/>
            <w:r w:rsidR="00EE5E45"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w:t>
            </w:r>
          </w:p>
        </w:tc>
        <w:tc>
          <w:tcPr>
            <w:tcW w:w="1134" w:type="dxa"/>
          </w:tcPr>
          <w:p w14:paraId="01AF5276"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15347A40" w14:textId="3DFB3A81" w:rsidTr="009A3811">
        <w:tc>
          <w:tcPr>
            <w:tcW w:w="0" w:type="auto"/>
            <w:hideMark/>
          </w:tcPr>
          <w:p w14:paraId="7A5BD7A0"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0190</w:t>
            </w:r>
          </w:p>
        </w:tc>
        <w:tc>
          <w:tcPr>
            <w:tcW w:w="7927" w:type="dxa"/>
            <w:hideMark/>
          </w:tcPr>
          <w:p w14:paraId="39EEB221" w14:textId="46161B25"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Poziții tratate în cadrul abordării CR IRB</w:t>
            </w:r>
          </w:p>
        </w:tc>
        <w:tc>
          <w:tcPr>
            <w:tcW w:w="1134" w:type="dxa"/>
          </w:tcPr>
          <w:p w14:paraId="6A004533" w14:textId="37BFAA81" w:rsidR="00B616C1" w:rsidRPr="009F3ADA" w:rsidRDefault="00EE5E45"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B616C1" w:rsidRPr="009F3ADA" w14:paraId="1F1E25C1" w14:textId="276B9A4F" w:rsidTr="009A3811">
        <w:tc>
          <w:tcPr>
            <w:tcW w:w="0" w:type="auto"/>
            <w:hideMark/>
          </w:tcPr>
          <w:p w14:paraId="1942B00F"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0200</w:t>
            </w:r>
          </w:p>
        </w:tc>
        <w:tc>
          <w:tcPr>
            <w:tcW w:w="7927" w:type="dxa"/>
            <w:hideMark/>
          </w:tcPr>
          <w:p w14:paraId="2E68FBE1"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CUANTUMURILE PONDERATE LA RISC ALE EXPUNERILOR</w:t>
            </w:r>
          </w:p>
          <w:p w14:paraId="0C93A4B5" w14:textId="07EE0F44" w:rsidR="00B616C1" w:rsidRPr="009F3ADA" w:rsidRDefault="00B616C1" w:rsidP="00F9266A">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Cuantumurile ponderate la risc ale expunerilor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astfel cum sunt definite </w:t>
            </w:r>
            <w:r w:rsidR="0076108D" w:rsidRPr="009F3ADA">
              <w:rPr>
                <w:rFonts w:ascii="Times New Roman" w:eastAsia="Times New Roman" w:hAnsi="Times New Roman" w:cs="Times New Roman"/>
                <w:sz w:val="24"/>
                <w:szCs w:val="24"/>
                <w:lang w:eastAsia="ro-MD"/>
              </w:rPr>
              <w:t xml:space="preserve">în </w:t>
            </w:r>
            <w:bookmarkStart w:id="14" w:name="_Hlk195786734"/>
            <w:r w:rsidR="00825A12" w:rsidRPr="009F3ADA">
              <w:rPr>
                <w:rFonts w:ascii="Times New Roman" w:eastAsia="Times New Roman" w:hAnsi="Times New Roman" w:cs="Times New Roman"/>
                <w:sz w:val="24"/>
                <w:szCs w:val="24"/>
                <w:lang w:eastAsia="ro-MD"/>
              </w:rPr>
              <w:t xml:space="preserve">Regulamentul cu privire la fondurile proprii ale băncilor </w:t>
            </w:r>
            <w:proofErr w:type="spellStart"/>
            <w:r w:rsidR="00825A12" w:rsidRPr="009F3ADA">
              <w:rPr>
                <w:rFonts w:ascii="Times New Roman" w:eastAsia="Times New Roman" w:hAnsi="Times New Roman" w:cs="Times New Roman"/>
                <w:sz w:val="24"/>
                <w:szCs w:val="24"/>
                <w:lang w:eastAsia="ro-MD"/>
              </w:rPr>
              <w:t>şi</w:t>
            </w:r>
            <w:proofErr w:type="spellEnd"/>
            <w:r w:rsidR="00825A12" w:rsidRPr="009F3ADA">
              <w:rPr>
                <w:rFonts w:ascii="Times New Roman" w:eastAsia="Times New Roman" w:hAnsi="Times New Roman" w:cs="Times New Roman"/>
                <w:sz w:val="24"/>
                <w:szCs w:val="24"/>
                <w:lang w:eastAsia="ro-MD"/>
              </w:rPr>
              <w:t xml:space="preserve"> </w:t>
            </w:r>
            <w:proofErr w:type="spellStart"/>
            <w:r w:rsidR="00825A12" w:rsidRPr="009F3ADA">
              <w:rPr>
                <w:rFonts w:ascii="Times New Roman" w:eastAsia="Times New Roman" w:hAnsi="Times New Roman" w:cs="Times New Roman"/>
                <w:sz w:val="24"/>
                <w:szCs w:val="24"/>
                <w:lang w:eastAsia="ro-MD"/>
              </w:rPr>
              <w:t>cerinţele</w:t>
            </w:r>
            <w:proofErr w:type="spellEnd"/>
            <w:r w:rsidR="00825A12" w:rsidRPr="009F3ADA">
              <w:rPr>
                <w:rFonts w:ascii="Times New Roman" w:eastAsia="Times New Roman" w:hAnsi="Times New Roman" w:cs="Times New Roman"/>
                <w:sz w:val="24"/>
                <w:szCs w:val="24"/>
                <w:lang w:eastAsia="ro-MD"/>
              </w:rPr>
              <w:t xml:space="preserve"> de capital</w:t>
            </w:r>
            <w:bookmarkEnd w:id="14"/>
            <w:r w:rsidR="00825A12"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calculate în conformitate cu metod</w:t>
            </w:r>
            <w:r w:rsidR="00B70E1A" w:rsidRPr="009F3ADA">
              <w:rPr>
                <w:rFonts w:ascii="Times New Roman" w:eastAsia="Times New Roman" w:hAnsi="Times New Roman" w:cs="Times New Roman"/>
                <w:sz w:val="24"/>
                <w:szCs w:val="24"/>
                <w:lang w:eastAsia="ro-MD"/>
              </w:rPr>
              <w:t>a</w:t>
            </w:r>
            <w:r w:rsidRPr="009F3ADA">
              <w:rPr>
                <w:rFonts w:ascii="Times New Roman" w:eastAsia="Times New Roman" w:hAnsi="Times New Roman" w:cs="Times New Roman"/>
                <w:sz w:val="24"/>
                <w:szCs w:val="24"/>
                <w:lang w:eastAsia="ro-MD"/>
              </w:rPr>
              <w:t xml:space="preserve"> prevăzut</w:t>
            </w:r>
            <w:r w:rsidR="00B70E1A" w:rsidRPr="009F3ADA">
              <w:rPr>
                <w:rFonts w:ascii="Times New Roman" w:eastAsia="Times New Roman" w:hAnsi="Times New Roman" w:cs="Times New Roman"/>
                <w:sz w:val="24"/>
                <w:szCs w:val="24"/>
                <w:lang w:eastAsia="ro-MD"/>
              </w:rPr>
              <w:t>ă</w:t>
            </w:r>
            <w:r w:rsidRPr="009F3ADA">
              <w:rPr>
                <w:rFonts w:ascii="Times New Roman" w:eastAsia="Times New Roman" w:hAnsi="Times New Roman" w:cs="Times New Roman"/>
                <w:sz w:val="24"/>
                <w:szCs w:val="24"/>
                <w:lang w:eastAsia="ro-MD"/>
              </w:rPr>
              <w:t xml:space="preserve"> în </w:t>
            </w:r>
            <w:r w:rsidR="00F9266A" w:rsidRPr="009F3ADA">
              <w:rPr>
                <w:rFonts w:ascii="Times New Roman" w:eastAsia="Times New Roman" w:hAnsi="Times New Roman" w:cs="Times New Roman"/>
                <w:sz w:val="24"/>
                <w:szCs w:val="24"/>
                <w:lang w:eastAsia="ro-MD"/>
              </w:rPr>
              <w:t>Regulamentul cu privire la tratamentul riscului de credit pentru bănci potrivit abordării standardizate</w:t>
            </w:r>
            <w:r w:rsidR="00F9266A" w:rsidRPr="009F3ADA">
              <w:rPr>
                <w:rFonts w:ascii="Times New Roman" w:eastAsia="Times New Roman" w:hAnsi="Times New Roman" w:cs="Times New Roman"/>
                <w:i/>
                <w:iCs/>
                <w:sz w:val="24"/>
                <w:szCs w:val="24"/>
                <w:lang w:eastAsia="ro-MD"/>
              </w:rPr>
              <w:t>.</w:t>
            </w:r>
          </w:p>
          <w:p w14:paraId="17226F8D" w14:textId="33A37F02"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Se iau în considerare factorii de sprijinire a IMM-urilor și a infrastructurii menționați </w:t>
            </w:r>
            <w:r w:rsidR="00B70E1A" w:rsidRPr="009F3ADA">
              <w:rPr>
                <w:rFonts w:ascii="Times New Roman" w:eastAsia="Times New Roman" w:hAnsi="Times New Roman" w:cs="Times New Roman"/>
                <w:sz w:val="24"/>
                <w:szCs w:val="24"/>
                <w:lang w:eastAsia="ro-MD"/>
              </w:rPr>
              <w:t>în Regulamentul cu privire la tratamentul riscului de credit pentru bănci potrivit abordării standardizate</w:t>
            </w:r>
            <w:r w:rsidRPr="009F3ADA">
              <w:rPr>
                <w:rFonts w:ascii="Times New Roman" w:eastAsia="Times New Roman" w:hAnsi="Times New Roman" w:cs="Times New Roman"/>
                <w:sz w:val="24"/>
                <w:szCs w:val="24"/>
                <w:lang w:eastAsia="ro-MD"/>
              </w:rPr>
              <w:t>.</w:t>
            </w:r>
          </w:p>
        </w:tc>
        <w:tc>
          <w:tcPr>
            <w:tcW w:w="1134" w:type="dxa"/>
          </w:tcPr>
          <w:p w14:paraId="660B87F0"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65BB1DE4" w14:textId="636AE7B7" w:rsidTr="009A3811">
        <w:tc>
          <w:tcPr>
            <w:tcW w:w="0" w:type="auto"/>
            <w:hideMark/>
          </w:tcPr>
          <w:p w14:paraId="629B130F"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0210</w:t>
            </w:r>
          </w:p>
        </w:tc>
        <w:tc>
          <w:tcPr>
            <w:tcW w:w="7927" w:type="dxa"/>
            <w:hideMark/>
          </w:tcPr>
          <w:p w14:paraId="72371E42"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Poziții tratate în cadrul abordării standardizate CR</w:t>
            </w:r>
          </w:p>
          <w:p w14:paraId="206E39E0" w14:textId="5D0A115C" w:rsidR="00B70E1A"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Cuantumurile ponderate la risc ale expunerilor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care sunt tratate în cadrul abordării standardizate a riscului de credit în conformitate cu </w:t>
            </w:r>
            <w:r w:rsidR="00B70E1A" w:rsidRPr="009F3ADA">
              <w:rPr>
                <w:rFonts w:ascii="Times New Roman" w:eastAsia="Times New Roman" w:hAnsi="Times New Roman" w:cs="Times New Roman"/>
                <w:sz w:val="24"/>
                <w:szCs w:val="24"/>
                <w:lang w:eastAsia="ro-MD"/>
              </w:rPr>
              <w:t>Regulamentul cu privire la tratamentul riscului de credit pentru bănci potrivit abordării standardizate.</w:t>
            </w:r>
          </w:p>
          <w:p w14:paraId="1575DD65" w14:textId="7C7144ED"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Acest cuantum corespunde cuantumului care trebuie inclus în coloana 0220 din formularul C 07.00 pentru pozițiile aferente riscului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w:t>
            </w:r>
          </w:p>
        </w:tc>
        <w:tc>
          <w:tcPr>
            <w:tcW w:w="1134" w:type="dxa"/>
          </w:tcPr>
          <w:p w14:paraId="1748360B"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p>
        </w:tc>
      </w:tr>
      <w:tr w:rsidR="00B616C1" w:rsidRPr="009F3ADA" w14:paraId="41EAF28E" w14:textId="484E0050" w:rsidTr="009A3811">
        <w:tc>
          <w:tcPr>
            <w:tcW w:w="0" w:type="auto"/>
            <w:hideMark/>
          </w:tcPr>
          <w:p w14:paraId="5676A87E" w14:textId="77777777"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0220</w:t>
            </w:r>
          </w:p>
        </w:tc>
        <w:tc>
          <w:tcPr>
            <w:tcW w:w="7927" w:type="dxa"/>
            <w:hideMark/>
          </w:tcPr>
          <w:p w14:paraId="09D4C089" w14:textId="2850F3E0" w:rsidR="00B616C1" w:rsidRPr="009F3ADA" w:rsidRDefault="00B616C1"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Poziții tratate în cadrul abordării CR IRB</w:t>
            </w:r>
          </w:p>
        </w:tc>
        <w:tc>
          <w:tcPr>
            <w:tcW w:w="1134" w:type="dxa"/>
          </w:tcPr>
          <w:p w14:paraId="1BDD739D" w14:textId="44A8A45A" w:rsidR="00B616C1" w:rsidRPr="009F3ADA" w:rsidRDefault="00B70E1A" w:rsidP="00B616C1">
            <w:pP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p w14:paraId="736EDF5E" w14:textId="77777777" w:rsidR="00B616C1" w:rsidRPr="009F3ADA" w:rsidRDefault="00B616C1" w:rsidP="00B616C1">
            <w:pPr>
              <w:ind w:firstLine="708"/>
              <w:rPr>
                <w:rFonts w:ascii="Times New Roman" w:eastAsia="Times New Roman" w:hAnsi="Times New Roman" w:cs="Times New Roman"/>
                <w:sz w:val="24"/>
                <w:szCs w:val="24"/>
                <w:lang w:eastAsia="ro-MD"/>
              </w:rPr>
            </w:pPr>
          </w:p>
        </w:tc>
      </w:tr>
    </w:tbl>
    <w:p w14:paraId="6D68008F"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23018F49" w14:textId="77777777" w:rsidR="00321A0B" w:rsidRPr="009F3ADA" w:rsidRDefault="00321A0B"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9EA5905"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tbl>
      <w:tblPr>
        <w:tblStyle w:val="TableGrid"/>
        <w:tblW w:w="9631" w:type="dxa"/>
        <w:tblLook w:val="04A0" w:firstRow="1" w:lastRow="0" w:firstColumn="1" w:lastColumn="0" w:noHBand="0" w:noVBand="1"/>
      </w:tblPr>
      <w:tblGrid>
        <w:gridCol w:w="696"/>
        <w:gridCol w:w="7808"/>
        <w:gridCol w:w="1127"/>
      </w:tblGrid>
      <w:tr w:rsidR="00DA3EA4" w:rsidRPr="009F3ADA" w14:paraId="6AC30F32" w14:textId="7E59F14C" w:rsidTr="009A3811">
        <w:tc>
          <w:tcPr>
            <w:tcW w:w="8497" w:type="dxa"/>
            <w:gridSpan w:val="2"/>
            <w:hideMark/>
          </w:tcPr>
          <w:p w14:paraId="3E660463" w14:textId="77777777" w:rsidR="00DA3EA4" w:rsidRPr="009F3ADA" w:rsidRDefault="00DA3EA4"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lastRenderedPageBreak/>
              <w:t>Rând</w:t>
            </w:r>
          </w:p>
        </w:tc>
        <w:tc>
          <w:tcPr>
            <w:tcW w:w="1134" w:type="dxa"/>
          </w:tcPr>
          <w:p w14:paraId="5B8ADFF4" w14:textId="77777777" w:rsidR="00DA3EA4" w:rsidRPr="009F3ADA" w:rsidRDefault="00DA3EA4" w:rsidP="001102FE">
            <w:pPr>
              <w:spacing w:before="100" w:beforeAutospacing="1" w:after="100" w:afterAutospacing="1"/>
              <w:rPr>
                <w:rFonts w:ascii="Times New Roman" w:eastAsia="Times New Roman" w:hAnsi="Times New Roman" w:cs="Times New Roman"/>
                <w:b/>
                <w:bCs/>
                <w:sz w:val="24"/>
                <w:szCs w:val="24"/>
                <w:lang w:eastAsia="ro-MD"/>
              </w:rPr>
            </w:pPr>
          </w:p>
        </w:tc>
      </w:tr>
      <w:tr w:rsidR="00DA3EA4" w:rsidRPr="009F3ADA" w14:paraId="5F051167" w14:textId="79BE6A7B" w:rsidTr="009A3811">
        <w:tc>
          <w:tcPr>
            <w:tcW w:w="0" w:type="auto"/>
            <w:hideMark/>
          </w:tcPr>
          <w:p w14:paraId="582AEB12"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w:t>
            </w:r>
          </w:p>
        </w:tc>
        <w:tc>
          <w:tcPr>
            <w:tcW w:w="7927" w:type="dxa"/>
            <w:hideMark/>
          </w:tcPr>
          <w:p w14:paraId="0188FFB0"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METODA EXPUNERII INIȚIALE (PENTRU INSTRUMENTE FINANCIARE DERIVATE)</w:t>
            </w:r>
          </w:p>
          <w:p w14:paraId="7FC5B6DC" w14:textId="324062C2" w:rsidR="00DA3EA4" w:rsidRPr="009F3ADA" w:rsidRDefault="00DA3EA4" w:rsidP="00B31DF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Instrumentele financiare derivate și tranzacțiile cu termen lung de decontare pentru care banca calculează valoarea expunerii în conformitate cu </w:t>
            </w:r>
            <w:r w:rsidR="00C819B6" w:rsidRPr="009F3ADA">
              <w:rPr>
                <w:rFonts w:ascii="Times New Roman" w:eastAsia="Times New Roman" w:hAnsi="Times New Roman" w:cs="Times New Roman"/>
                <w:sz w:val="24"/>
                <w:szCs w:val="24"/>
                <w:lang w:eastAsia="ro-MD"/>
              </w:rPr>
              <w:t>c</w:t>
            </w:r>
            <w:r w:rsidRPr="009F3ADA">
              <w:rPr>
                <w:rFonts w:ascii="Times New Roman" w:eastAsia="Times New Roman" w:hAnsi="Times New Roman" w:cs="Times New Roman"/>
                <w:sz w:val="24"/>
                <w:szCs w:val="24"/>
                <w:lang w:eastAsia="ro-MD"/>
              </w:rPr>
              <w:t>apitolul V „Metoda  expunerii inițiale” din Regulamentul</w:t>
            </w:r>
            <w:r w:rsidR="00E972F3" w:rsidRPr="009F3ADA">
              <w:rPr>
                <w:kern w:val="0"/>
                <w14:ligatures w14:val="none"/>
              </w:rPr>
              <w:t xml:space="preserve"> </w:t>
            </w:r>
            <w:r w:rsidR="00E972F3" w:rsidRPr="009F3ADA">
              <w:rPr>
                <w:rFonts w:ascii="Times New Roman" w:eastAsia="Times New Roman" w:hAnsi="Times New Roman" w:cs="Times New Roman"/>
                <w:sz w:val="24"/>
                <w:szCs w:val="24"/>
                <w:lang w:eastAsia="ro-MD"/>
              </w:rPr>
              <w:t>nr.220/2025</w:t>
            </w:r>
            <w:r w:rsidRPr="009F3ADA">
              <w:rPr>
                <w:rFonts w:ascii="Times New Roman" w:eastAsia="Times New Roman" w:hAnsi="Times New Roman" w:cs="Times New Roman"/>
                <w:sz w:val="24"/>
                <w:szCs w:val="24"/>
                <w:lang w:eastAsia="ro-MD"/>
              </w:rPr>
              <w:t xml:space="preserve"> 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Această metodă simplificată de calculare a valorii expunerii poate fi utilizată numai de banca care îndepline</w:t>
            </w:r>
            <w:r w:rsidR="0076108D" w:rsidRPr="009F3ADA">
              <w:rPr>
                <w:rFonts w:ascii="Times New Roman" w:eastAsia="Times New Roman" w:hAnsi="Times New Roman" w:cs="Times New Roman"/>
                <w:sz w:val="24"/>
                <w:szCs w:val="24"/>
                <w:lang w:eastAsia="ro-MD"/>
              </w:rPr>
              <w:t>ște</w:t>
            </w:r>
            <w:r w:rsidRPr="009F3ADA">
              <w:rPr>
                <w:rFonts w:ascii="Times New Roman" w:eastAsia="Times New Roman" w:hAnsi="Times New Roman" w:cs="Times New Roman"/>
                <w:sz w:val="24"/>
                <w:szCs w:val="24"/>
                <w:lang w:eastAsia="ro-MD"/>
              </w:rPr>
              <w:t xml:space="preserve"> condițiile prevăzute la punctul 21 sau 2</w:t>
            </w:r>
            <w:r w:rsidR="0038133F" w:rsidRPr="009F3ADA">
              <w:rPr>
                <w:rFonts w:ascii="Times New Roman" w:eastAsia="Times New Roman" w:hAnsi="Times New Roman" w:cs="Times New Roman"/>
                <w:sz w:val="24"/>
                <w:szCs w:val="24"/>
                <w:lang w:eastAsia="ro-MD"/>
              </w:rPr>
              <w:t>4</w:t>
            </w:r>
            <w:r w:rsidRPr="009F3ADA">
              <w:rPr>
                <w:rFonts w:ascii="Times New Roman" w:eastAsia="Times New Roman" w:hAnsi="Times New Roman" w:cs="Times New Roman"/>
                <w:sz w:val="24"/>
                <w:szCs w:val="24"/>
                <w:lang w:eastAsia="ro-MD"/>
              </w:rPr>
              <w:t xml:space="preserve"> din Regulamentul</w:t>
            </w:r>
            <w:r w:rsidR="00E972F3" w:rsidRPr="009F3ADA">
              <w:rPr>
                <w:kern w:val="0"/>
                <w14:ligatures w14:val="none"/>
              </w:rPr>
              <w:t xml:space="preserve"> </w:t>
            </w:r>
            <w:r w:rsidR="00E972F3" w:rsidRPr="009F3ADA">
              <w:rPr>
                <w:rFonts w:ascii="Times New Roman" w:eastAsia="Times New Roman" w:hAnsi="Times New Roman" w:cs="Times New Roman"/>
                <w:sz w:val="24"/>
                <w:szCs w:val="24"/>
                <w:lang w:eastAsia="ro-MD"/>
              </w:rPr>
              <w:t>nr.220/2025</w:t>
            </w:r>
            <w:r w:rsidRPr="009F3ADA">
              <w:rPr>
                <w:rFonts w:ascii="Times New Roman" w:eastAsia="Times New Roman" w:hAnsi="Times New Roman" w:cs="Times New Roman"/>
                <w:sz w:val="24"/>
                <w:szCs w:val="24"/>
                <w:lang w:eastAsia="ro-MD"/>
              </w:rPr>
              <w:t xml:space="preserve"> 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tc>
        <w:tc>
          <w:tcPr>
            <w:tcW w:w="1134" w:type="dxa"/>
          </w:tcPr>
          <w:p w14:paraId="1907DE88"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6DB57DCD" w14:textId="5DF0C5F8" w:rsidTr="009A3811">
        <w:tc>
          <w:tcPr>
            <w:tcW w:w="0" w:type="auto"/>
            <w:hideMark/>
          </w:tcPr>
          <w:p w14:paraId="60798EFB"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w:t>
            </w:r>
          </w:p>
        </w:tc>
        <w:tc>
          <w:tcPr>
            <w:tcW w:w="7927" w:type="dxa"/>
            <w:hideMark/>
          </w:tcPr>
          <w:p w14:paraId="326F28F9" w14:textId="77777777" w:rsidR="00DA3EA4" w:rsidRPr="009F3ADA" w:rsidRDefault="00DA3EA4" w:rsidP="00CE2E5C">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ABORDAREA STANDARDIZATĂ SIMPLIFICATĂ PENTRU RISCUL DE CREDIT AL CONTRAPĂRȚII (SA-CCR SIMPLIFICATĂ PENTRU INSTRUMENTE FINANCIARE DERIVATE)</w:t>
            </w:r>
          </w:p>
          <w:p w14:paraId="6D83A09C" w14:textId="4977D9C3" w:rsidR="00DA3EA4" w:rsidRPr="009F3ADA" w:rsidRDefault="00DA3EA4" w:rsidP="00CE2E5C">
            <w:pPr>
              <w:pStyle w:val="ListParagraph"/>
              <w:ind w:left="0"/>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Instrumentele financiare derivate și tranzacțiile cu termen lung de decontare pentru care banca calculează valoarea expunerii în conformitate cu </w:t>
            </w:r>
            <w:r w:rsidR="00993600" w:rsidRPr="009F3ADA">
              <w:rPr>
                <w:rFonts w:ascii="Times New Roman" w:eastAsia="Times New Roman" w:hAnsi="Times New Roman" w:cs="Times New Roman"/>
                <w:sz w:val="24"/>
                <w:szCs w:val="24"/>
                <w:lang w:eastAsia="ro-MD"/>
              </w:rPr>
              <w:t>c</w:t>
            </w:r>
            <w:r w:rsidRPr="009F3ADA">
              <w:rPr>
                <w:rFonts w:ascii="Times New Roman" w:eastAsia="Times New Roman" w:hAnsi="Times New Roman" w:cs="Times New Roman"/>
                <w:sz w:val="24"/>
                <w:szCs w:val="24"/>
              </w:rPr>
              <w:t>apitolul IV „</w:t>
            </w:r>
            <w:r w:rsidRPr="009F3ADA">
              <w:rPr>
                <w:rFonts w:ascii="Times New Roman" w:eastAsia="Calibri" w:hAnsi="Times New Roman" w:cs="Times New Roman"/>
                <w:color w:val="000000"/>
                <w:sz w:val="24"/>
                <w:szCs w:val="24"/>
              </w:rPr>
              <w:t xml:space="preserve">Abordarea standardizată simplificată pentru riscul de credit al </w:t>
            </w:r>
            <w:proofErr w:type="spellStart"/>
            <w:r w:rsidRPr="009F3ADA">
              <w:rPr>
                <w:rFonts w:ascii="Times New Roman" w:eastAsia="Calibri" w:hAnsi="Times New Roman" w:cs="Times New Roman"/>
                <w:color w:val="000000"/>
                <w:sz w:val="24"/>
                <w:szCs w:val="24"/>
              </w:rPr>
              <w:t>contrapărţii</w:t>
            </w:r>
            <w:proofErr w:type="spellEnd"/>
            <w:r w:rsidRPr="009F3ADA">
              <w:rPr>
                <w:rFonts w:ascii="Times New Roman" w:eastAsia="Calibri" w:hAnsi="Times New Roman" w:cs="Times New Roman"/>
                <w:color w:val="000000"/>
                <w:sz w:val="24"/>
                <w:szCs w:val="24"/>
              </w:rPr>
              <w:t xml:space="preserve">” din </w:t>
            </w:r>
            <w:r w:rsidRPr="009F3ADA">
              <w:rPr>
                <w:rFonts w:ascii="Times New Roman" w:eastAsia="Times New Roman" w:hAnsi="Times New Roman" w:cs="Times New Roman"/>
                <w:sz w:val="24"/>
                <w:szCs w:val="24"/>
                <w:lang w:eastAsia="ro-MD"/>
              </w:rPr>
              <w:t xml:space="preserve">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Această abordare standardizată simplificată de calculare a valorii expunerii poate fi utilizată numai de băncile care îndeplinesc condițiile prevăzute la punctul 20 sau 2</w:t>
            </w:r>
            <w:r w:rsidR="0038133F" w:rsidRPr="009F3ADA">
              <w:rPr>
                <w:rFonts w:ascii="Times New Roman" w:eastAsia="Times New Roman" w:hAnsi="Times New Roman" w:cs="Times New Roman"/>
                <w:sz w:val="24"/>
                <w:szCs w:val="24"/>
                <w:lang w:eastAsia="ro-MD"/>
              </w:rPr>
              <w:t>4</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tc>
        <w:tc>
          <w:tcPr>
            <w:tcW w:w="1134" w:type="dxa"/>
          </w:tcPr>
          <w:p w14:paraId="78E7AEA1" w14:textId="77777777" w:rsidR="00DA3EA4" w:rsidRPr="009F3ADA" w:rsidRDefault="00DA3EA4" w:rsidP="00CE2E5C">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297931BE" w14:textId="6B235A23" w:rsidTr="009A3811">
        <w:tc>
          <w:tcPr>
            <w:tcW w:w="0" w:type="auto"/>
            <w:hideMark/>
          </w:tcPr>
          <w:p w14:paraId="66A8087F"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w:t>
            </w:r>
          </w:p>
        </w:tc>
        <w:tc>
          <w:tcPr>
            <w:tcW w:w="7927" w:type="dxa"/>
            <w:hideMark/>
          </w:tcPr>
          <w:p w14:paraId="575AE70C"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ABORDAREA STANDARDIZATĂ PENTRU RISCUL DE CREDIT AL CONTRAPĂRȚII (SA-CCR PENTRU INSTRUMENTE FINANCIARE DERIVATE)</w:t>
            </w:r>
          </w:p>
          <w:p w14:paraId="064E8B1A" w14:textId="3D975349" w:rsidR="00DA3EA4" w:rsidRPr="009F3ADA" w:rsidRDefault="00DA3EA4" w:rsidP="00CE2E5C">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Instrumentele financiare derivate și tranzacțiile cu termen lung de decontare pentru care banca calculează valoarea expunerii în conformitate </w:t>
            </w:r>
            <w:r w:rsidR="00C819B6" w:rsidRPr="009F3ADA">
              <w:rPr>
                <w:rFonts w:ascii="Times New Roman" w:eastAsia="Times New Roman" w:hAnsi="Times New Roman" w:cs="Times New Roman"/>
                <w:sz w:val="24"/>
                <w:szCs w:val="24"/>
                <w:lang w:eastAsia="ro-MD"/>
              </w:rPr>
              <w:t>c</w:t>
            </w:r>
            <w:r w:rsidRPr="009F3ADA">
              <w:rPr>
                <w:rFonts w:ascii="Times New Roman" w:eastAsia="Times New Roman" w:hAnsi="Times New Roman" w:cs="Times New Roman"/>
                <w:sz w:val="24"/>
                <w:szCs w:val="24"/>
                <w:lang w:eastAsia="ro-MD"/>
              </w:rPr>
              <w:t xml:space="preserve">apitolul III „Abordarea standardizată pentru riscul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w:t>
            </w:r>
            <w:r w:rsidRPr="009F3ADA">
              <w:rPr>
                <w:rFonts w:ascii="Times New Roman" w:eastAsia="Calibri" w:hAnsi="Times New Roman" w:cs="Times New Roman"/>
                <w:color w:val="000000"/>
                <w:sz w:val="24"/>
                <w:szCs w:val="24"/>
              </w:rPr>
              <w:t xml:space="preserve">din </w:t>
            </w:r>
            <w:r w:rsidRPr="009F3ADA">
              <w:rPr>
                <w:rFonts w:ascii="Times New Roman" w:eastAsia="Times New Roman" w:hAnsi="Times New Roman" w:cs="Times New Roman"/>
                <w:sz w:val="24"/>
                <w:szCs w:val="24"/>
                <w:lang w:eastAsia="ro-MD"/>
              </w:rPr>
              <w:t xml:space="preserve">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555E9B50" w14:textId="0E3B178D"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c>
          <w:tcPr>
            <w:tcW w:w="1134" w:type="dxa"/>
          </w:tcPr>
          <w:p w14:paraId="4645D019"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2A211D97" w14:textId="7F4D31C2" w:rsidTr="009A3811">
        <w:tc>
          <w:tcPr>
            <w:tcW w:w="0" w:type="auto"/>
            <w:hideMark/>
          </w:tcPr>
          <w:p w14:paraId="29760C28"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0040</w:t>
            </w:r>
          </w:p>
        </w:tc>
        <w:tc>
          <w:tcPr>
            <w:tcW w:w="7927" w:type="dxa"/>
            <w:hideMark/>
          </w:tcPr>
          <w:p w14:paraId="65A5F126" w14:textId="4DE64B56"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MMI (PENTRU INSTRUMENTE FINANCIARE DERIVATE ȘI SFT-uri)</w:t>
            </w:r>
          </w:p>
        </w:tc>
        <w:tc>
          <w:tcPr>
            <w:tcW w:w="1134" w:type="dxa"/>
          </w:tcPr>
          <w:p w14:paraId="4F7AE825" w14:textId="2073F2FC"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DA3EA4" w:rsidRPr="009F3ADA" w14:paraId="7B9C3195" w14:textId="3928B945" w:rsidTr="009A3811">
        <w:tc>
          <w:tcPr>
            <w:tcW w:w="0" w:type="auto"/>
            <w:hideMark/>
          </w:tcPr>
          <w:p w14:paraId="5378FB14"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w:t>
            </w:r>
          </w:p>
        </w:tc>
        <w:tc>
          <w:tcPr>
            <w:tcW w:w="7927" w:type="dxa"/>
            <w:hideMark/>
          </w:tcPr>
          <w:p w14:paraId="6ADB56C2" w14:textId="69AD430A"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Seturi de compensare pentru operațiunile de finanțare prin instrumente financiare</w:t>
            </w:r>
          </w:p>
        </w:tc>
        <w:tc>
          <w:tcPr>
            <w:tcW w:w="1134" w:type="dxa"/>
          </w:tcPr>
          <w:p w14:paraId="6A586022" w14:textId="743C16F0" w:rsidR="00DA3EA4" w:rsidRPr="009F3ADA" w:rsidRDefault="00BE02E8"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DA3EA4" w:rsidRPr="009F3ADA" w14:paraId="421C481F" w14:textId="5B6CF0E9" w:rsidTr="009A3811">
        <w:tc>
          <w:tcPr>
            <w:tcW w:w="0" w:type="auto"/>
            <w:hideMark/>
          </w:tcPr>
          <w:p w14:paraId="32270A8E"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0060</w:t>
            </w:r>
          </w:p>
        </w:tc>
        <w:tc>
          <w:tcPr>
            <w:tcW w:w="7927" w:type="dxa"/>
            <w:hideMark/>
          </w:tcPr>
          <w:p w14:paraId="5BB17682" w14:textId="3CABD4EC"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Seturi de compensare pentru instrumentele financiare derivate și tranzacțiile cu termen lung de decontare</w:t>
            </w:r>
          </w:p>
        </w:tc>
        <w:tc>
          <w:tcPr>
            <w:tcW w:w="1134" w:type="dxa"/>
          </w:tcPr>
          <w:p w14:paraId="7D62FE72" w14:textId="533CD327" w:rsidR="00DA3EA4" w:rsidRPr="009F3ADA" w:rsidRDefault="00822535"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DA3EA4" w:rsidRPr="009F3ADA" w14:paraId="45C52874" w14:textId="59C85984" w:rsidTr="009A3811">
        <w:tc>
          <w:tcPr>
            <w:tcW w:w="0" w:type="auto"/>
            <w:hideMark/>
          </w:tcPr>
          <w:p w14:paraId="5207A082"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0070</w:t>
            </w:r>
          </w:p>
        </w:tc>
        <w:tc>
          <w:tcPr>
            <w:tcW w:w="7927" w:type="dxa"/>
            <w:hideMark/>
          </w:tcPr>
          <w:p w14:paraId="3B123D44" w14:textId="023F6826" w:rsidR="00DA3EA4" w:rsidRPr="009F3ADA" w:rsidRDefault="00C50CC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w:t>
            </w:r>
            <w:r w:rsidR="00DA3EA4" w:rsidRPr="009F3ADA">
              <w:rPr>
                <w:rFonts w:ascii="Times New Roman" w:eastAsia="Times New Roman" w:hAnsi="Times New Roman" w:cs="Times New Roman"/>
                <w:sz w:val="24"/>
                <w:szCs w:val="24"/>
                <w:lang w:eastAsia="ro-MD"/>
              </w:rPr>
              <w:t>eturi de compensare contractuală între produse diferite</w:t>
            </w:r>
          </w:p>
        </w:tc>
        <w:tc>
          <w:tcPr>
            <w:tcW w:w="1134" w:type="dxa"/>
          </w:tcPr>
          <w:p w14:paraId="761F11C3" w14:textId="314CCF53" w:rsidR="00DA3EA4" w:rsidRPr="009F3ADA" w:rsidRDefault="00822535"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DA3EA4" w:rsidRPr="009F3ADA" w14:paraId="3F221289" w14:textId="20F96CDD" w:rsidTr="009A3811">
        <w:tc>
          <w:tcPr>
            <w:tcW w:w="0" w:type="auto"/>
            <w:hideMark/>
          </w:tcPr>
          <w:p w14:paraId="37ADC04F"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0080</w:t>
            </w:r>
          </w:p>
        </w:tc>
        <w:tc>
          <w:tcPr>
            <w:tcW w:w="7927" w:type="dxa"/>
            <w:hideMark/>
          </w:tcPr>
          <w:p w14:paraId="1FB76C32"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METODA SIMPLĂ A GARANȚIILOR FINANCIARE (PENTRU SFT-uri)</w:t>
            </w:r>
          </w:p>
          <w:p w14:paraId="14E0EB0B" w14:textId="15791792" w:rsidR="00265CB3" w:rsidRPr="009F3ADA" w:rsidRDefault="00265CB3" w:rsidP="00265CB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Titlul IV „Calculul efectelor diminuării riscului de credit”, Capitolul VIII „Calculul efectelor în cazul </w:t>
            </w:r>
            <w:proofErr w:type="spellStart"/>
            <w:r w:rsidRPr="009F3ADA">
              <w:rPr>
                <w:rFonts w:ascii="Times New Roman" w:eastAsia="Times New Roman" w:hAnsi="Times New Roman" w:cs="Times New Roman"/>
                <w:sz w:val="24"/>
                <w:szCs w:val="24"/>
                <w:lang w:eastAsia="ro-MD"/>
              </w:rPr>
              <w:t>protecţiei</w:t>
            </w:r>
            <w:proofErr w:type="spellEnd"/>
            <w:r w:rsidRPr="009F3ADA">
              <w:rPr>
                <w:rFonts w:ascii="Times New Roman" w:eastAsia="Times New Roman" w:hAnsi="Times New Roman" w:cs="Times New Roman"/>
                <w:sz w:val="24"/>
                <w:szCs w:val="24"/>
                <w:lang w:eastAsia="ro-MD"/>
              </w:rPr>
              <w:t xml:space="preserve"> </w:t>
            </w:r>
            <w:proofErr w:type="spellStart"/>
            <w:r w:rsidRPr="009F3ADA">
              <w:rPr>
                <w:rFonts w:ascii="Times New Roman" w:eastAsia="Times New Roman" w:hAnsi="Times New Roman" w:cs="Times New Roman"/>
                <w:sz w:val="24"/>
                <w:szCs w:val="24"/>
                <w:lang w:eastAsia="ro-MD"/>
              </w:rPr>
              <w:t>finanţate</w:t>
            </w:r>
            <w:proofErr w:type="spellEnd"/>
            <w:r w:rsidRPr="009F3ADA">
              <w:rPr>
                <w:rFonts w:ascii="Times New Roman" w:eastAsia="Times New Roman" w:hAnsi="Times New Roman" w:cs="Times New Roman"/>
                <w:sz w:val="24"/>
                <w:szCs w:val="24"/>
                <w:lang w:eastAsia="ro-MD"/>
              </w:rPr>
              <w:t xml:space="preserve"> a creditului”, </w:t>
            </w:r>
            <w:proofErr w:type="spellStart"/>
            <w:r w:rsidRPr="009F3ADA">
              <w:rPr>
                <w:rFonts w:ascii="Times New Roman" w:eastAsia="Times New Roman" w:hAnsi="Times New Roman" w:cs="Times New Roman"/>
                <w:sz w:val="24"/>
                <w:szCs w:val="24"/>
                <w:lang w:eastAsia="ro-MD"/>
              </w:rPr>
              <w:t>Secţiunea</w:t>
            </w:r>
            <w:proofErr w:type="spellEnd"/>
            <w:r w:rsidRPr="009F3ADA">
              <w:rPr>
                <w:rFonts w:ascii="Times New Roman" w:eastAsia="Times New Roman" w:hAnsi="Times New Roman" w:cs="Times New Roman"/>
                <w:sz w:val="24"/>
                <w:szCs w:val="24"/>
                <w:lang w:eastAsia="ro-MD"/>
              </w:rPr>
              <w:t xml:space="preserve"> a 4-a „Metoda simplă a </w:t>
            </w:r>
            <w:proofErr w:type="spellStart"/>
            <w:r w:rsidRPr="009F3ADA">
              <w:rPr>
                <w:rFonts w:ascii="Times New Roman" w:eastAsia="Times New Roman" w:hAnsi="Times New Roman" w:cs="Times New Roman"/>
                <w:sz w:val="24"/>
                <w:szCs w:val="24"/>
                <w:lang w:eastAsia="ro-MD"/>
              </w:rPr>
              <w:t>garanţiilor</w:t>
            </w:r>
            <w:proofErr w:type="spellEnd"/>
            <w:r w:rsidRPr="009F3ADA">
              <w:rPr>
                <w:rFonts w:ascii="Times New Roman" w:eastAsia="Times New Roman" w:hAnsi="Times New Roman" w:cs="Times New Roman"/>
                <w:sz w:val="24"/>
                <w:szCs w:val="24"/>
                <w:lang w:eastAsia="ro-MD"/>
              </w:rPr>
              <w:t xml:space="preserve"> financiare” din</w:t>
            </w:r>
            <w:r w:rsidRPr="009F3ADA">
              <w:rPr>
                <w:rFonts w:ascii="Times New Roman" w:eastAsia="Times New Roman" w:hAnsi="Times New Roman" w:cs="Times New Roman"/>
                <w:b/>
                <w:bCs/>
                <w:i/>
                <w:iCs/>
                <w:sz w:val="24"/>
                <w:szCs w:val="24"/>
                <w:lang w:eastAsia="ro-MD"/>
              </w:rPr>
              <w:t xml:space="preserve"> </w:t>
            </w:r>
            <w:r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Pr="009F3ADA">
              <w:rPr>
                <w:rFonts w:ascii="Times New Roman" w:eastAsia="Times New Roman" w:hAnsi="Times New Roman" w:cs="Times New Roman"/>
                <w:sz w:val="24"/>
                <w:szCs w:val="24"/>
                <w:lang w:eastAsia="ro-MD"/>
              </w:rPr>
              <w:br/>
            </w:r>
          </w:p>
          <w:p w14:paraId="57F3CD91" w14:textId="5AEF5F04" w:rsidR="00DA3EA4" w:rsidRPr="009F3ADA" w:rsidRDefault="00DA3EA4" w:rsidP="00265CB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 xml:space="preserve">Tranzacțiile de răscumpărare, operațiunile de dare sau luare de titluri sau mărfuri cu împrumut, tranzacțiile cu termen lung de decontare și tranzacțiile de creditare în marjă pentru care banca a ales să determine valoarea expunerii în conformitate cu </w:t>
            </w:r>
            <w:r w:rsidR="00265CB3" w:rsidRPr="009F3ADA">
              <w:rPr>
                <w:rFonts w:ascii="Times New Roman" w:eastAsia="Times New Roman" w:hAnsi="Times New Roman" w:cs="Times New Roman"/>
                <w:sz w:val="24"/>
                <w:szCs w:val="24"/>
                <w:lang w:eastAsia="ro-MD"/>
              </w:rPr>
              <w:t xml:space="preserve">Titlul IV „Calculul efectelor diminuării riscului de credit”, Capitolul VIII „Calculul efectelor în cazul </w:t>
            </w:r>
            <w:proofErr w:type="spellStart"/>
            <w:r w:rsidR="00265CB3" w:rsidRPr="009F3ADA">
              <w:rPr>
                <w:rFonts w:ascii="Times New Roman" w:eastAsia="Times New Roman" w:hAnsi="Times New Roman" w:cs="Times New Roman"/>
                <w:sz w:val="24"/>
                <w:szCs w:val="24"/>
                <w:lang w:eastAsia="ro-MD"/>
              </w:rPr>
              <w:t>protecţiei</w:t>
            </w:r>
            <w:proofErr w:type="spellEnd"/>
            <w:r w:rsidR="00265CB3" w:rsidRPr="009F3ADA">
              <w:rPr>
                <w:rFonts w:ascii="Times New Roman" w:eastAsia="Times New Roman" w:hAnsi="Times New Roman" w:cs="Times New Roman"/>
                <w:sz w:val="24"/>
                <w:szCs w:val="24"/>
                <w:lang w:eastAsia="ro-MD"/>
              </w:rPr>
              <w:t xml:space="preserve"> </w:t>
            </w:r>
            <w:proofErr w:type="spellStart"/>
            <w:r w:rsidR="00265CB3" w:rsidRPr="009F3ADA">
              <w:rPr>
                <w:rFonts w:ascii="Times New Roman" w:eastAsia="Times New Roman" w:hAnsi="Times New Roman" w:cs="Times New Roman"/>
                <w:sz w:val="24"/>
                <w:szCs w:val="24"/>
                <w:lang w:eastAsia="ro-MD"/>
              </w:rPr>
              <w:t>finanţate</w:t>
            </w:r>
            <w:proofErr w:type="spellEnd"/>
            <w:r w:rsidR="00265CB3" w:rsidRPr="009F3ADA">
              <w:rPr>
                <w:rFonts w:ascii="Times New Roman" w:eastAsia="Times New Roman" w:hAnsi="Times New Roman" w:cs="Times New Roman"/>
                <w:sz w:val="24"/>
                <w:szCs w:val="24"/>
                <w:lang w:eastAsia="ro-MD"/>
              </w:rPr>
              <w:t xml:space="preserve"> a creditului”, </w:t>
            </w:r>
            <w:proofErr w:type="spellStart"/>
            <w:r w:rsidR="00265CB3" w:rsidRPr="009F3ADA">
              <w:rPr>
                <w:rFonts w:ascii="Times New Roman" w:eastAsia="Times New Roman" w:hAnsi="Times New Roman" w:cs="Times New Roman"/>
                <w:sz w:val="24"/>
                <w:szCs w:val="24"/>
                <w:lang w:eastAsia="ro-MD"/>
              </w:rPr>
              <w:t>Secţiunea</w:t>
            </w:r>
            <w:proofErr w:type="spellEnd"/>
            <w:r w:rsidR="00265CB3" w:rsidRPr="009F3ADA">
              <w:rPr>
                <w:rFonts w:ascii="Times New Roman" w:eastAsia="Times New Roman" w:hAnsi="Times New Roman" w:cs="Times New Roman"/>
                <w:sz w:val="24"/>
                <w:szCs w:val="24"/>
                <w:lang w:eastAsia="ro-MD"/>
              </w:rPr>
              <w:t xml:space="preserve"> a 4-a „Metoda simplă a </w:t>
            </w:r>
            <w:proofErr w:type="spellStart"/>
            <w:r w:rsidR="00265CB3" w:rsidRPr="009F3ADA">
              <w:rPr>
                <w:rFonts w:ascii="Times New Roman" w:eastAsia="Times New Roman" w:hAnsi="Times New Roman" w:cs="Times New Roman"/>
                <w:sz w:val="24"/>
                <w:szCs w:val="24"/>
                <w:lang w:eastAsia="ro-MD"/>
              </w:rPr>
              <w:t>garanţiilor</w:t>
            </w:r>
            <w:proofErr w:type="spellEnd"/>
            <w:r w:rsidR="00265CB3" w:rsidRPr="009F3ADA">
              <w:rPr>
                <w:rFonts w:ascii="Times New Roman" w:eastAsia="Times New Roman" w:hAnsi="Times New Roman" w:cs="Times New Roman"/>
                <w:sz w:val="24"/>
                <w:szCs w:val="24"/>
                <w:lang w:eastAsia="ro-MD"/>
              </w:rPr>
              <w:t xml:space="preserve"> financiare” din</w:t>
            </w:r>
            <w:r w:rsidR="00265CB3" w:rsidRPr="009F3ADA">
              <w:rPr>
                <w:rFonts w:ascii="Times New Roman" w:eastAsia="Times New Roman" w:hAnsi="Times New Roman" w:cs="Times New Roman"/>
                <w:b/>
                <w:bCs/>
                <w:i/>
                <w:iCs/>
                <w:sz w:val="24"/>
                <w:szCs w:val="24"/>
                <w:lang w:eastAsia="ro-MD"/>
              </w:rPr>
              <w:t xml:space="preserve"> </w:t>
            </w:r>
            <w:r w:rsidR="00265CB3"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Pr="009F3ADA">
              <w:rPr>
                <w:rFonts w:ascii="Times New Roman" w:eastAsia="Times New Roman" w:hAnsi="Times New Roman" w:cs="Times New Roman"/>
                <w:sz w:val="24"/>
                <w:szCs w:val="24"/>
                <w:lang w:eastAsia="ro-MD"/>
              </w:rPr>
              <w:t xml:space="preserve">, în loc să utilizeze </w:t>
            </w:r>
            <w:r w:rsidR="00265CB3" w:rsidRPr="009F3ADA">
              <w:rPr>
                <w:rFonts w:ascii="Times New Roman" w:eastAsia="Times New Roman" w:hAnsi="Times New Roman" w:cs="Times New Roman"/>
                <w:sz w:val="24"/>
                <w:szCs w:val="24"/>
                <w:lang w:eastAsia="ro-MD"/>
              </w:rPr>
              <w:t xml:space="preserve">Regulamentul </w:t>
            </w:r>
            <w:r w:rsidR="00E972F3" w:rsidRPr="009F3ADA">
              <w:rPr>
                <w:rFonts w:ascii="Times New Roman" w:eastAsia="Times New Roman" w:hAnsi="Times New Roman" w:cs="Times New Roman"/>
                <w:sz w:val="24"/>
                <w:szCs w:val="24"/>
                <w:lang w:eastAsia="ro-MD"/>
              </w:rPr>
              <w:t xml:space="preserve">nr.220/2025 </w:t>
            </w:r>
            <w:r w:rsidR="00265CB3" w:rsidRPr="009F3ADA">
              <w:rPr>
                <w:rFonts w:ascii="Times New Roman" w:eastAsia="Times New Roman" w:hAnsi="Times New Roman" w:cs="Times New Roman"/>
                <w:sz w:val="24"/>
                <w:szCs w:val="24"/>
                <w:lang w:eastAsia="ro-MD"/>
              </w:rPr>
              <w:t xml:space="preserve">cu privire la tratamentul riscului de credit al </w:t>
            </w:r>
            <w:proofErr w:type="spellStart"/>
            <w:r w:rsidR="00265CB3" w:rsidRPr="009F3ADA">
              <w:rPr>
                <w:rFonts w:ascii="Times New Roman" w:eastAsia="Times New Roman" w:hAnsi="Times New Roman" w:cs="Times New Roman"/>
                <w:sz w:val="24"/>
                <w:szCs w:val="24"/>
                <w:lang w:eastAsia="ro-MD"/>
              </w:rPr>
              <w:t>contrapărţii</w:t>
            </w:r>
            <w:proofErr w:type="spellEnd"/>
            <w:r w:rsidR="00265CB3" w:rsidRPr="009F3ADA">
              <w:rPr>
                <w:rFonts w:ascii="Times New Roman" w:eastAsia="Times New Roman" w:hAnsi="Times New Roman" w:cs="Times New Roman"/>
                <w:sz w:val="24"/>
                <w:szCs w:val="24"/>
                <w:lang w:eastAsia="ro-MD"/>
              </w:rPr>
              <w:t xml:space="preserve"> pentru bănci.</w:t>
            </w:r>
          </w:p>
        </w:tc>
        <w:tc>
          <w:tcPr>
            <w:tcW w:w="1134" w:type="dxa"/>
          </w:tcPr>
          <w:p w14:paraId="1BD21A0D"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784AEAF0" w14:textId="663E2E4D" w:rsidTr="009A3811">
        <w:tc>
          <w:tcPr>
            <w:tcW w:w="0" w:type="auto"/>
            <w:hideMark/>
          </w:tcPr>
          <w:p w14:paraId="192DE9F6"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0090</w:t>
            </w:r>
          </w:p>
        </w:tc>
        <w:tc>
          <w:tcPr>
            <w:tcW w:w="7927" w:type="dxa"/>
            <w:hideMark/>
          </w:tcPr>
          <w:p w14:paraId="11755431"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METODA EXTINSĂ A GARANȚIILOR FINANCIARE (PENTRU SFT-uri)</w:t>
            </w:r>
          </w:p>
          <w:p w14:paraId="634A7B8F" w14:textId="67DECF84" w:rsidR="000321B6" w:rsidRPr="009F3ADA" w:rsidRDefault="000321B6" w:rsidP="000321B6">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00C819B6" w:rsidRPr="009F3ADA">
              <w:rPr>
                <w:rFonts w:ascii="Times New Roman" w:eastAsia="Times New Roman" w:hAnsi="Times New Roman" w:cs="Times New Roman"/>
                <w:sz w:val="24"/>
                <w:szCs w:val="24"/>
                <w:lang w:eastAsia="ro-MD"/>
              </w:rPr>
              <w:t>.</w:t>
            </w:r>
          </w:p>
          <w:p w14:paraId="6D29D12F" w14:textId="3FE8D881" w:rsidR="00DA3EA4" w:rsidRPr="009F3ADA" w:rsidRDefault="00DA3EA4" w:rsidP="000321B6">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de răscumpărare, operațiunile de dare sau luare de titluri sau mărfuri cu împrumut, tranzacțiile cu termen lung de decontare și tranzacțiile de creditare în marjă pentru care banca a ales să determine valoarea expunerii în conformitate cu </w:t>
            </w:r>
            <w:r w:rsidR="000321B6"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Pr="009F3ADA">
              <w:rPr>
                <w:rFonts w:ascii="Times New Roman" w:eastAsia="Times New Roman" w:hAnsi="Times New Roman" w:cs="Times New Roman"/>
                <w:sz w:val="24"/>
                <w:szCs w:val="24"/>
                <w:lang w:eastAsia="ro-MD"/>
              </w:rPr>
              <w:t xml:space="preserve">, în loc să utilizeze </w:t>
            </w:r>
            <w:r w:rsidR="00B45452" w:rsidRPr="009F3ADA">
              <w:rPr>
                <w:rFonts w:ascii="Times New Roman" w:eastAsia="Times New Roman" w:hAnsi="Times New Roman" w:cs="Times New Roman"/>
                <w:sz w:val="24"/>
                <w:szCs w:val="24"/>
                <w:lang w:eastAsia="ro-MD"/>
              </w:rPr>
              <w:t xml:space="preserve">Regulamentul </w:t>
            </w:r>
            <w:r w:rsidR="00E972F3" w:rsidRPr="009F3ADA">
              <w:rPr>
                <w:rFonts w:ascii="Times New Roman" w:eastAsia="Times New Roman" w:hAnsi="Times New Roman" w:cs="Times New Roman"/>
                <w:sz w:val="24"/>
                <w:szCs w:val="24"/>
                <w:lang w:eastAsia="ro-MD"/>
              </w:rPr>
              <w:t xml:space="preserve">nr.220/2025 </w:t>
            </w:r>
            <w:r w:rsidR="00B45452" w:rsidRPr="009F3ADA">
              <w:rPr>
                <w:rFonts w:ascii="Times New Roman" w:eastAsia="Times New Roman" w:hAnsi="Times New Roman" w:cs="Times New Roman"/>
                <w:sz w:val="24"/>
                <w:szCs w:val="24"/>
                <w:lang w:eastAsia="ro-MD"/>
              </w:rPr>
              <w:t xml:space="preserve">cu privire la tratamentul riscului de credit al </w:t>
            </w:r>
            <w:proofErr w:type="spellStart"/>
            <w:r w:rsidR="00B45452" w:rsidRPr="009F3ADA">
              <w:rPr>
                <w:rFonts w:ascii="Times New Roman" w:eastAsia="Times New Roman" w:hAnsi="Times New Roman" w:cs="Times New Roman"/>
                <w:sz w:val="24"/>
                <w:szCs w:val="24"/>
                <w:lang w:eastAsia="ro-MD"/>
              </w:rPr>
              <w:t>contrapărţii</w:t>
            </w:r>
            <w:proofErr w:type="spellEnd"/>
            <w:r w:rsidR="00B45452" w:rsidRPr="009F3ADA">
              <w:rPr>
                <w:rFonts w:ascii="Times New Roman" w:eastAsia="Times New Roman" w:hAnsi="Times New Roman" w:cs="Times New Roman"/>
                <w:sz w:val="24"/>
                <w:szCs w:val="24"/>
                <w:lang w:eastAsia="ro-MD"/>
              </w:rPr>
              <w:t xml:space="preserve"> pentru bănci.</w:t>
            </w:r>
          </w:p>
        </w:tc>
        <w:tc>
          <w:tcPr>
            <w:tcW w:w="1134" w:type="dxa"/>
          </w:tcPr>
          <w:p w14:paraId="7A83280B"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3172FEDA" w14:textId="14A439AA" w:rsidTr="009A3811">
        <w:tc>
          <w:tcPr>
            <w:tcW w:w="0" w:type="auto"/>
            <w:hideMark/>
          </w:tcPr>
          <w:p w14:paraId="6D23E48F"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0100</w:t>
            </w:r>
          </w:p>
        </w:tc>
        <w:tc>
          <w:tcPr>
            <w:tcW w:w="7927" w:type="dxa"/>
            <w:hideMark/>
          </w:tcPr>
          <w:p w14:paraId="15042708"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VAR PENTRU SFT-uri</w:t>
            </w:r>
          </w:p>
          <w:p w14:paraId="14A4D9E5" w14:textId="5AF1F178" w:rsidR="000321B6" w:rsidRPr="009F3ADA" w:rsidRDefault="000321B6" w:rsidP="000321B6">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00C819B6" w:rsidRPr="009F3ADA">
              <w:rPr>
                <w:rFonts w:ascii="Times New Roman" w:eastAsia="Times New Roman" w:hAnsi="Times New Roman" w:cs="Times New Roman"/>
                <w:sz w:val="24"/>
                <w:szCs w:val="24"/>
                <w:lang w:eastAsia="ro-MD"/>
              </w:rPr>
              <w:t>.</w:t>
            </w:r>
          </w:p>
          <w:p w14:paraId="298D6BF2" w14:textId="05A27305"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de răscumpărare, operațiunile de dare sau luare de titluri sau mărfuri cu împrumut și tranzacțiile de creditare în marjă sau alte operațiuni ajustate la condițiile pieței de capital, altele decât tranzacțiile cu instrumente financiare derivate, pentru care, în conformitate cu </w:t>
            </w:r>
            <w:r w:rsidR="000321B6" w:rsidRPr="009F3ADA">
              <w:rPr>
                <w:rFonts w:ascii="Times New Roman" w:eastAsia="Times New Roman" w:hAnsi="Times New Roman" w:cs="Times New Roman"/>
                <w:sz w:val="24"/>
                <w:szCs w:val="24"/>
                <w:lang w:eastAsia="ro-MD"/>
              </w:rPr>
              <w:t>Regulamentul nr.112/2018 cu privire la tehnicile de diminuare a riscului de credit utilizate de bănci</w:t>
            </w:r>
            <w:r w:rsidRPr="009F3ADA">
              <w:rPr>
                <w:rFonts w:ascii="Times New Roman" w:eastAsia="Times New Roman" w:hAnsi="Times New Roman" w:cs="Times New Roman"/>
                <w:sz w:val="24"/>
                <w:szCs w:val="24"/>
                <w:lang w:eastAsia="ro-MD"/>
              </w:rPr>
              <w:t xml:space="preserve"> și cu condiția obținerii aprobării </w:t>
            </w:r>
            <w:r w:rsidR="0045015B" w:rsidRPr="009F3ADA">
              <w:rPr>
                <w:rFonts w:ascii="Times New Roman" w:eastAsia="Times New Roman" w:hAnsi="Times New Roman" w:cs="Times New Roman"/>
                <w:sz w:val="24"/>
                <w:szCs w:val="24"/>
                <w:lang w:eastAsia="ro-MD"/>
              </w:rPr>
              <w:t>Băncii Naționale a Moldovei</w:t>
            </w:r>
            <w:r w:rsidRPr="009F3ADA">
              <w:rPr>
                <w:rFonts w:ascii="Times New Roman" w:eastAsia="Times New Roman" w:hAnsi="Times New Roman" w:cs="Times New Roman"/>
                <w:sz w:val="24"/>
                <w:szCs w:val="24"/>
                <w:lang w:eastAsia="ro-MD"/>
              </w:rPr>
              <w:t>, valoarea expunerii este calculată utilizând o abordare bazată pe modele interne, care ține seama de efectele corelării dintre pozițiile pe titluri supuse acordului-cadru de compensare, precum și de lichiditatea instrumentelor respective.</w:t>
            </w:r>
          </w:p>
        </w:tc>
        <w:tc>
          <w:tcPr>
            <w:tcW w:w="1134" w:type="dxa"/>
          </w:tcPr>
          <w:p w14:paraId="7B44F869"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5E4EB90C" w14:textId="1FFAC331" w:rsidTr="009A3811">
        <w:tc>
          <w:tcPr>
            <w:tcW w:w="0" w:type="auto"/>
            <w:hideMark/>
          </w:tcPr>
          <w:p w14:paraId="23A7C62B"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0110</w:t>
            </w:r>
          </w:p>
        </w:tc>
        <w:tc>
          <w:tcPr>
            <w:tcW w:w="7927" w:type="dxa"/>
            <w:hideMark/>
          </w:tcPr>
          <w:p w14:paraId="766A1258"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TOTAL</w:t>
            </w:r>
          </w:p>
        </w:tc>
        <w:tc>
          <w:tcPr>
            <w:tcW w:w="1134" w:type="dxa"/>
          </w:tcPr>
          <w:p w14:paraId="721EE9C4"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74E0B424" w14:textId="26FB0289" w:rsidTr="009A3811">
        <w:tc>
          <w:tcPr>
            <w:tcW w:w="0" w:type="auto"/>
            <w:hideMark/>
          </w:tcPr>
          <w:p w14:paraId="0D1DDD99"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0120</w:t>
            </w:r>
          </w:p>
        </w:tc>
        <w:tc>
          <w:tcPr>
            <w:tcW w:w="7927" w:type="dxa"/>
            <w:hideMark/>
          </w:tcPr>
          <w:p w14:paraId="63956215" w14:textId="757E306A"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Din care: poziții expuse riscului specific de corelare defavorabilă (SWWR)</w:t>
            </w:r>
          </w:p>
        </w:tc>
        <w:tc>
          <w:tcPr>
            <w:tcW w:w="1134" w:type="dxa"/>
          </w:tcPr>
          <w:p w14:paraId="069CFED7" w14:textId="4607C330" w:rsidR="00DA3EA4" w:rsidRPr="009F3ADA" w:rsidRDefault="00FC1576"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DA3EA4" w:rsidRPr="009F3ADA" w14:paraId="6CA23E16" w14:textId="4FE93301" w:rsidTr="009A3811">
        <w:tc>
          <w:tcPr>
            <w:tcW w:w="0" w:type="auto"/>
            <w:hideMark/>
          </w:tcPr>
          <w:p w14:paraId="6B6BB439"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0130</w:t>
            </w:r>
          </w:p>
        </w:tc>
        <w:tc>
          <w:tcPr>
            <w:tcW w:w="7927" w:type="dxa"/>
            <w:hideMark/>
          </w:tcPr>
          <w:p w14:paraId="1DEDE552"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Operațiuni cu marjă</w:t>
            </w:r>
          </w:p>
          <w:p w14:paraId="4F0E72EB" w14:textId="28BD1DF2" w:rsidR="00DA3EA4" w:rsidRPr="009F3ADA" w:rsidRDefault="00DA3EA4" w:rsidP="00403E8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3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28AC14AF" w14:textId="2C65A23F"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Expunerile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care sunt acoperite de o marjă, și anume seturile de compensare care fac obiectul unui contract în marjă în conformitate cu punctul 3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tc>
        <w:tc>
          <w:tcPr>
            <w:tcW w:w="1134" w:type="dxa"/>
          </w:tcPr>
          <w:p w14:paraId="40569058"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r w:rsidR="00DA3EA4" w:rsidRPr="009F3ADA" w14:paraId="73ECF783" w14:textId="53EC57C9" w:rsidTr="009A3811">
        <w:tc>
          <w:tcPr>
            <w:tcW w:w="0" w:type="auto"/>
            <w:hideMark/>
          </w:tcPr>
          <w:p w14:paraId="2734BAE5"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0140</w:t>
            </w:r>
          </w:p>
        </w:tc>
        <w:tc>
          <w:tcPr>
            <w:tcW w:w="7927" w:type="dxa"/>
            <w:hideMark/>
          </w:tcPr>
          <w:p w14:paraId="2CF2A20F"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Operațiuni fără marjă</w:t>
            </w:r>
          </w:p>
          <w:p w14:paraId="733FDC22" w14:textId="40F6EB5B"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Expunerile la riscul de credit al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care nu sunt </w:t>
            </w:r>
            <w:r w:rsidR="00E53AFF" w:rsidRPr="009F3ADA">
              <w:rPr>
                <w:rFonts w:ascii="Times New Roman" w:eastAsia="Times New Roman" w:hAnsi="Times New Roman" w:cs="Times New Roman"/>
                <w:sz w:val="24"/>
                <w:szCs w:val="24"/>
                <w:lang w:eastAsia="ro-MD"/>
              </w:rPr>
              <w:t xml:space="preserve">reflectate </w:t>
            </w:r>
            <w:r w:rsidRPr="009F3ADA">
              <w:rPr>
                <w:rFonts w:ascii="Times New Roman" w:eastAsia="Times New Roman" w:hAnsi="Times New Roman" w:cs="Times New Roman"/>
                <w:sz w:val="24"/>
                <w:szCs w:val="24"/>
                <w:lang w:eastAsia="ro-MD"/>
              </w:rPr>
              <w:t>pe rândul 0130.</w:t>
            </w:r>
          </w:p>
        </w:tc>
        <w:tc>
          <w:tcPr>
            <w:tcW w:w="1134" w:type="dxa"/>
          </w:tcPr>
          <w:p w14:paraId="2CF08F5D" w14:textId="77777777" w:rsidR="00DA3EA4" w:rsidRPr="009F3ADA" w:rsidRDefault="00DA3EA4" w:rsidP="001102FE">
            <w:pPr>
              <w:spacing w:before="100" w:beforeAutospacing="1" w:after="100" w:afterAutospacing="1"/>
              <w:rPr>
                <w:rFonts w:ascii="Times New Roman" w:eastAsia="Times New Roman" w:hAnsi="Times New Roman" w:cs="Times New Roman"/>
                <w:sz w:val="24"/>
                <w:szCs w:val="24"/>
                <w:lang w:eastAsia="ro-MD"/>
              </w:rPr>
            </w:pPr>
          </w:p>
        </w:tc>
      </w:tr>
    </w:tbl>
    <w:p w14:paraId="41084089" w14:textId="2EE47617" w:rsidR="006057E8" w:rsidRPr="009F3ADA" w:rsidRDefault="006057E8" w:rsidP="006F7FA2">
      <w:pPr>
        <w:rPr>
          <w:rFonts w:ascii="Times New Roman" w:hAnsi="Times New Roman" w:cs="Times New Roman"/>
          <w:sz w:val="24"/>
          <w:szCs w:val="24"/>
        </w:rPr>
      </w:pPr>
    </w:p>
    <w:p w14:paraId="0D93167E" w14:textId="77777777" w:rsidR="006F7FA2" w:rsidRPr="009F3ADA" w:rsidRDefault="006F7FA2" w:rsidP="006F7FA2">
      <w:pPr>
        <w:rPr>
          <w:rFonts w:ascii="Times New Roman" w:hAnsi="Times New Roman" w:cs="Times New Roman"/>
          <w:sz w:val="24"/>
          <w:szCs w:val="24"/>
        </w:rPr>
      </w:pPr>
    </w:p>
    <w:p w14:paraId="62C33E47" w14:textId="77777777" w:rsidR="001E2A95" w:rsidRPr="009F3ADA" w:rsidRDefault="001E2A95" w:rsidP="001E2A95">
      <w:pPr>
        <w:shd w:val="clear" w:color="auto" w:fill="FFFFFF"/>
        <w:spacing w:after="120" w:line="312" w:lineRule="atLeast"/>
        <w:jc w:val="center"/>
        <w:rPr>
          <w:rFonts w:ascii="Times New Roman" w:eastAsia="Times New Roman" w:hAnsi="Times New Roman" w:cs="Times New Roman"/>
          <w:color w:val="000000"/>
          <w:sz w:val="27"/>
          <w:szCs w:val="27"/>
          <w:lang w:eastAsia="ro-MD"/>
        </w:rPr>
      </w:pPr>
      <w:bookmarkStart w:id="15" w:name="_Hlk190356522"/>
      <w:r w:rsidRPr="009F3ADA">
        <w:rPr>
          <w:rFonts w:ascii="Times New Roman" w:eastAsia="Calibri" w:hAnsi="Times New Roman" w:cs="Times New Roman"/>
          <w:b/>
          <w:sz w:val="24"/>
          <w:szCs w:val="24"/>
          <w:lang w:val="it-CH"/>
        </w:rPr>
        <w:t xml:space="preserve">PREZENTAREA GENERALĂ A </w:t>
      </w:r>
      <w:r w:rsidRPr="009F3ADA">
        <w:rPr>
          <w:rFonts w:ascii="Times New Roman" w:eastAsia="Times New Roman" w:hAnsi="Times New Roman" w:cs="Times New Roman"/>
          <w:b/>
          <w:bCs/>
          <w:sz w:val="24"/>
          <w:szCs w:val="24"/>
          <w:lang w:eastAsia="ro-MD"/>
        </w:rPr>
        <w:t xml:space="preserve">RAPORTĂRII PRIVIND RISCUL DE CREDIT AL CONTRAPĂRȚII: </w:t>
      </w:r>
      <w:bookmarkEnd w:id="15"/>
      <w:r w:rsidRPr="009F3ADA">
        <w:rPr>
          <w:rFonts w:ascii="Times New Roman" w:eastAsia="Times New Roman" w:hAnsi="Times New Roman" w:cs="Times New Roman"/>
          <w:b/>
          <w:bCs/>
          <w:sz w:val="24"/>
          <w:szCs w:val="24"/>
          <w:lang w:eastAsia="ro-MD"/>
        </w:rPr>
        <w:t>EXPUNERI LA CCR TRATATE CU ABORDĂRI STANDARDIZATE: SA-CCR sau VERSIUNEA SIMPLIFICATĂ A SA-CCR (CCR 3)</w:t>
      </w:r>
    </w:p>
    <w:p w14:paraId="77391BC1" w14:textId="5BAFCCFC" w:rsidR="001E2A95" w:rsidRPr="009F3ADA" w:rsidRDefault="008D5FF1" w:rsidP="001E2A95">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 xml:space="preserve">Băncile </w:t>
      </w:r>
      <w:r w:rsidR="00E53AFF" w:rsidRPr="009F3ADA">
        <w:rPr>
          <w:rFonts w:ascii="Times New Roman" w:eastAsia="Times New Roman" w:hAnsi="Times New Roman" w:cs="Times New Roman"/>
          <w:color w:val="000000"/>
          <w:sz w:val="27"/>
          <w:szCs w:val="27"/>
          <w:lang w:eastAsia="ro-MD"/>
        </w:rPr>
        <w:t xml:space="preserve">completează </w:t>
      </w:r>
      <w:r w:rsidRPr="009F3ADA">
        <w:rPr>
          <w:rFonts w:ascii="Times New Roman" w:eastAsia="Times New Roman" w:hAnsi="Times New Roman" w:cs="Times New Roman"/>
          <w:color w:val="000000"/>
          <w:sz w:val="27"/>
          <w:szCs w:val="27"/>
          <w:lang w:eastAsia="ro-MD"/>
        </w:rPr>
        <w:t xml:space="preserve">formularul separat </w:t>
      </w:r>
      <w:r w:rsidR="001E2A95" w:rsidRPr="009F3ADA">
        <w:rPr>
          <w:rFonts w:ascii="Times New Roman" w:eastAsia="Times New Roman" w:hAnsi="Times New Roman" w:cs="Times New Roman"/>
          <w:color w:val="000000"/>
          <w:sz w:val="27"/>
          <w:szCs w:val="27"/>
          <w:lang w:eastAsia="ro-MD"/>
        </w:rPr>
        <w:t xml:space="preserve">pentru raportarea expunerilor la riscul de credit al </w:t>
      </w:r>
      <w:proofErr w:type="spellStart"/>
      <w:r w:rsidR="001E2A95" w:rsidRPr="009F3ADA">
        <w:rPr>
          <w:rFonts w:ascii="Times New Roman" w:eastAsia="Times New Roman" w:hAnsi="Times New Roman" w:cs="Times New Roman"/>
          <w:color w:val="000000"/>
          <w:sz w:val="27"/>
          <w:szCs w:val="27"/>
          <w:lang w:eastAsia="ro-MD"/>
        </w:rPr>
        <w:t>contrapărții</w:t>
      </w:r>
      <w:proofErr w:type="spellEnd"/>
      <w:r w:rsidR="001E2A95" w:rsidRPr="009F3ADA">
        <w:rPr>
          <w:rFonts w:ascii="Times New Roman" w:eastAsia="Times New Roman" w:hAnsi="Times New Roman" w:cs="Times New Roman"/>
          <w:color w:val="000000"/>
          <w:sz w:val="27"/>
          <w:szCs w:val="27"/>
          <w:lang w:eastAsia="ro-MD"/>
        </w:rPr>
        <w:t xml:space="preserve"> calculate în conformitate cu SA-CCR sau cu SA-CCR simplificată, după caz.</w:t>
      </w:r>
    </w:p>
    <w:p w14:paraId="2A4F6F40" w14:textId="77777777" w:rsidR="001102FE" w:rsidRPr="009F3ADA" w:rsidRDefault="001102FE" w:rsidP="006F7FA2">
      <w:pPr>
        <w:rPr>
          <w:rFonts w:ascii="Times New Roman" w:hAnsi="Times New Roman" w:cs="Times New Roman"/>
          <w:sz w:val="24"/>
          <w:szCs w:val="24"/>
        </w:rPr>
        <w:sectPr w:rsidR="001102FE" w:rsidRPr="009F3ADA" w:rsidSect="00DA3EA4">
          <w:pgSz w:w="11906" w:h="16838" w:code="9"/>
          <w:pgMar w:top="1134" w:right="851" w:bottom="1134" w:left="1701" w:header="709" w:footer="709" w:gutter="0"/>
          <w:cols w:space="708"/>
          <w:docGrid w:linePitch="360"/>
        </w:sectPr>
      </w:pPr>
    </w:p>
    <w:p w14:paraId="4B7377C5" w14:textId="0257D1F7" w:rsidR="001E2A95" w:rsidRPr="009F3ADA" w:rsidRDefault="00FE43B4"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lastRenderedPageBreak/>
        <w:t xml:space="preserve">Formularul </w:t>
      </w:r>
      <w:r w:rsidR="001E2A95" w:rsidRPr="009F3ADA">
        <w:rPr>
          <w:rFonts w:ascii="Times New Roman" w:eastAsia="Times New Roman" w:hAnsi="Times New Roman" w:cs="Times New Roman"/>
          <w:b/>
          <w:bCs/>
          <w:color w:val="000000"/>
          <w:sz w:val="27"/>
          <w:szCs w:val="27"/>
          <w:lang w:eastAsia="ro-MD"/>
        </w:rPr>
        <w:t>raportului</w:t>
      </w:r>
    </w:p>
    <w:p w14:paraId="047022E5" w14:textId="64EAC5E1" w:rsidR="001102FE" w:rsidRPr="009F3ADA" w:rsidRDefault="001102FE"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34.03 RISCUL DE CREDIT AL CONTRAPĂRȚII: </w:t>
      </w:r>
      <w:bookmarkStart w:id="16" w:name="_Hlk190355425"/>
      <w:r w:rsidRPr="009F3ADA">
        <w:rPr>
          <w:rFonts w:ascii="Times New Roman" w:eastAsia="Times New Roman" w:hAnsi="Times New Roman" w:cs="Times New Roman"/>
          <w:b/>
          <w:bCs/>
          <w:color w:val="000000"/>
          <w:sz w:val="27"/>
          <w:szCs w:val="27"/>
          <w:lang w:eastAsia="ro-MD"/>
        </w:rPr>
        <w:t>EXPUNERI LA CCR TRATATE CU ABORDĂRI STANDARDIZATE: SA-CCR sau VERSIUNEA SIMPLIFICATĂ A SA-CCR (CCR 3)</w:t>
      </w:r>
    </w:p>
    <w:bookmarkEnd w:id="16"/>
    <w:tbl>
      <w:tblPr>
        <w:tblStyle w:val="TableGrid"/>
        <w:tblpPr w:leftFromText="180" w:rightFromText="180" w:vertAnchor="text" w:horzAnchor="margin" w:tblpXSpec="right" w:tblpY="46"/>
        <w:tblW w:w="0" w:type="auto"/>
        <w:tblLook w:val="04A0" w:firstRow="1" w:lastRow="0" w:firstColumn="1" w:lastColumn="0" w:noHBand="0" w:noVBand="1"/>
      </w:tblPr>
      <w:tblGrid>
        <w:gridCol w:w="3029"/>
      </w:tblGrid>
      <w:tr w:rsidR="00526AD3" w:rsidRPr="009F3ADA" w14:paraId="2BA238FB" w14:textId="77777777" w:rsidTr="00526AD3">
        <w:trPr>
          <w:trHeight w:val="316"/>
        </w:trPr>
        <w:tc>
          <w:tcPr>
            <w:tcW w:w="3029" w:type="dxa"/>
          </w:tcPr>
          <w:p w14:paraId="6B761220" w14:textId="77777777" w:rsidR="00526AD3" w:rsidRPr="009F3ADA" w:rsidRDefault="00526AD3" w:rsidP="00526AD3">
            <w:pPr>
              <w:spacing w:before="100" w:beforeAutospacing="1" w:after="100" w:afterAutospacing="1"/>
              <w:rPr>
                <w:rFonts w:ascii="Times New Roman" w:eastAsia="Times New Roman" w:hAnsi="Times New Roman" w:cs="Times New Roman"/>
                <w:color w:val="000000"/>
                <w:sz w:val="27"/>
                <w:szCs w:val="27"/>
                <w:lang w:eastAsia="ro-MD"/>
              </w:rPr>
            </w:pPr>
          </w:p>
        </w:tc>
      </w:tr>
    </w:tbl>
    <w:p w14:paraId="56BCD1A4" w14:textId="77777777" w:rsidR="00526AD3" w:rsidRPr="009F3ADA" w:rsidRDefault="001102FE" w:rsidP="00526AD3">
      <w:pPr>
        <w:spacing w:before="100" w:beforeAutospacing="1" w:after="100" w:afterAutospacing="1" w:line="240" w:lineRule="auto"/>
        <w:jc w:val="right"/>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Abordarea CCR</w:t>
      </w:r>
    </w:p>
    <w:tbl>
      <w:tblPr>
        <w:tblStyle w:val="TableGrid"/>
        <w:tblW w:w="14309" w:type="dxa"/>
        <w:tblLook w:val="04A0" w:firstRow="1" w:lastRow="0" w:firstColumn="1" w:lastColumn="0" w:noHBand="0" w:noVBand="1"/>
      </w:tblPr>
      <w:tblGrid>
        <w:gridCol w:w="576"/>
        <w:gridCol w:w="3233"/>
        <w:gridCol w:w="1036"/>
        <w:gridCol w:w="1307"/>
        <w:gridCol w:w="1508"/>
        <w:gridCol w:w="1614"/>
        <w:gridCol w:w="1594"/>
        <w:gridCol w:w="1601"/>
        <w:gridCol w:w="1840"/>
      </w:tblGrid>
      <w:tr w:rsidR="001102FE" w:rsidRPr="009F3ADA" w14:paraId="1EDC7F9A" w14:textId="77777777" w:rsidTr="001E2A95">
        <w:tc>
          <w:tcPr>
            <w:tcW w:w="3809" w:type="dxa"/>
            <w:gridSpan w:val="2"/>
            <w:vMerge w:val="restart"/>
            <w:hideMark/>
          </w:tcPr>
          <w:p w14:paraId="1AC0A33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CATEGORIILE DE RISC</w:t>
            </w:r>
          </w:p>
        </w:tc>
        <w:tc>
          <w:tcPr>
            <w:tcW w:w="0" w:type="auto"/>
            <w:hideMark/>
          </w:tcPr>
          <w:p w14:paraId="6B42E4C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MONEDA</w:t>
            </w:r>
          </w:p>
        </w:tc>
        <w:tc>
          <w:tcPr>
            <w:tcW w:w="0" w:type="auto"/>
            <w:hideMark/>
          </w:tcPr>
          <w:p w14:paraId="004E7D2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A DOUA MONEDĂ DIN PERECHE</w:t>
            </w:r>
          </w:p>
        </w:tc>
        <w:tc>
          <w:tcPr>
            <w:tcW w:w="0" w:type="auto"/>
            <w:hideMark/>
          </w:tcPr>
          <w:p w14:paraId="5E25290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NUMĂRUL DE TRANZACȚII</w:t>
            </w:r>
          </w:p>
        </w:tc>
        <w:tc>
          <w:tcPr>
            <w:tcW w:w="0" w:type="auto"/>
            <w:hideMark/>
          </w:tcPr>
          <w:p w14:paraId="52A49B4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CUANTUMURI NOȚIONALE</w:t>
            </w:r>
          </w:p>
        </w:tc>
        <w:tc>
          <w:tcPr>
            <w:tcW w:w="0" w:type="auto"/>
            <w:hideMark/>
          </w:tcPr>
          <w:p w14:paraId="0FE707C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VALOAREA DE PIAȚĂ CURENTĂ (CMV), POZITIVĂ</w:t>
            </w:r>
          </w:p>
        </w:tc>
        <w:tc>
          <w:tcPr>
            <w:tcW w:w="0" w:type="auto"/>
            <w:hideMark/>
          </w:tcPr>
          <w:p w14:paraId="2D225495"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VALOAREA DE PIAȚĂ CURENTĂ (CMV), NEGATIVĂ</w:t>
            </w:r>
          </w:p>
        </w:tc>
        <w:tc>
          <w:tcPr>
            <w:tcW w:w="1840" w:type="dxa"/>
            <w:hideMark/>
          </w:tcPr>
          <w:p w14:paraId="19139233"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MAJORARE</w:t>
            </w:r>
          </w:p>
        </w:tc>
      </w:tr>
      <w:tr w:rsidR="001102FE" w:rsidRPr="009F3ADA" w14:paraId="5DDA46F3" w14:textId="77777777" w:rsidTr="001E2A95">
        <w:tc>
          <w:tcPr>
            <w:tcW w:w="3809" w:type="dxa"/>
            <w:gridSpan w:val="2"/>
            <w:vMerge/>
            <w:hideMark/>
          </w:tcPr>
          <w:p w14:paraId="0C17FEF4" w14:textId="77777777" w:rsidR="001102FE" w:rsidRPr="009F3ADA" w:rsidRDefault="001102FE" w:rsidP="001102FE">
            <w:pPr>
              <w:rPr>
                <w:rFonts w:ascii="Times New Roman" w:eastAsia="Times New Roman" w:hAnsi="Times New Roman" w:cs="Times New Roman"/>
                <w:b/>
                <w:bCs/>
                <w:sz w:val="18"/>
                <w:szCs w:val="18"/>
                <w:lang w:eastAsia="ro-MD"/>
              </w:rPr>
            </w:pPr>
          </w:p>
        </w:tc>
        <w:tc>
          <w:tcPr>
            <w:tcW w:w="0" w:type="auto"/>
            <w:hideMark/>
          </w:tcPr>
          <w:p w14:paraId="0F9C9F79"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0010</w:t>
            </w:r>
          </w:p>
        </w:tc>
        <w:tc>
          <w:tcPr>
            <w:tcW w:w="0" w:type="auto"/>
            <w:hideMark/>
          </w:tcPr>
          <w:p w14:paraId="069EADB7"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0020</w:t>
            </w:r>
          </w:p>
        </w:tc>
        <w:tc>
          <w:tcPr>
            <w:tcW w:w="0" w:type="auto"/>
            <w:hideMark/>
          </w:tcPr>
          <w:p w14:paraId="107B0745"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0030</w:t>
            </w:r>
          </w:p>
        </w:tc>
        <w:tc>
          <w:tcPr>
            <w:tcW w:w="0" w:type="auto"/>
            <w:hideMark/>
          </w:tcPr>
          <w:p w14:paraId="5AD2A7F9"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0040</w:t>
            </w:r>
          </w:p>
        </w:tc>
        <w:tc>
          <w:tcPr>
            <w:tcW w:w="0" w:type="auto"/>
            <w:hideMark/>
          </w:tcPr>
          <w:p w14:paraId="5E82E75A"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0050</w:t>
            </w:r>
          </w:p>
        </w:tc>
        <w:tc>
          <w:tcPr>
            <w:tcW w:w="0" w:type="auto"/>
            <w:hideMark/>
          </w:tcPr>
          <w:p w14:paraId="5EF2571D"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0060</w:t>
            </w:r>
          </w:p>
        </w:tc>
        <w:tc>
          <w:tcPr>
            <w:tcW w:w="1840" w:type="dxa"/>
            <w:hideMark/>
          </w:tcPr>
          <w:p w14:paraId="1204D133" w14:textId="77777777" w:rsidR="001102FE" w:rsidRPr="009F3ADA" w:rsidRDefault="001102FE" w:rsidP="001E2A95">
            <w:pPr>
              <w:spacing w:before="100" w:beforeAutospacing="1" w:after="100" w:afterAutospacing="1"/>
              <w:jc w:val="center"/>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0070</w:t>
            </w:r>
          </w:p>
        </w:tc>
      </w:tr>
      <w:tr w:rsidR="00DB5B91" w:rsidRPr="009F3ADA" w14:paraId="047FAFB0" w14:textId="77777777" w:rsidTr="009A3811">
        <w:tc>
          <w:tcPr>
            <w:tcW w:w="0" w:type="auto"/>
            <w:hideMark/>
          </w:tcPr>
          <w:p w14:paraId="19E0C5A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0010</w:t>
            </w:r>
          </w:p>
        </w:tc>
        <w:tc>
          <w:tcPr>
            <w:tcW w:w="3233" w:type="dxa"/>
            <w:hideMark/>
          </w:tcPr>
          <w:p w14:paraId="5F0C38D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TOTAL</w:t>
            </w:r>
          </w:p>
        </w:tc>
        <w:tc>
          <w:tcPr>
            <w:tcW w:w="0" w:type="auto"/>
            <w:hideMark/>
          </w:tcPr>
          <w:p w14:paraId="72EC81E4" w14:textId="77454ED3"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63FEB1B" w14:textId="39FB422D"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D2B5E9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3D7F94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F83FF4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5E412E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39B58A1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080BA67F" w14:textId="77777777" w:rsidTr="009A3811">
        <w:tc>
          <w:tcPr>
            <w:tcW w:w="0" w:type="auto"/>
            <w:hideMark/>
          </w:tcPr>
          <w:p w14:paraId="318394C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0020</w:t>
            </w:r>
          </w:p>
        </w:tc>
        <w:tc>
          <w:tcPr>
            <w:tcW w:w="3233" w:type="dxa"/>
            <w:hideMark/>
          </w:tcPr>
          <w:p w14:paraId="1FF0809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în 2 categorii de risc</w:t>
            </w:r>
          </w:p>
        </w:tc>
        <w:tc>
          <w:tcPr>
            <w:tcW w:w="0" w:type="auto"/>
            <w:hideMark/>
          </w:tcPr>
          <w:p w14:paraId="688143CB" w14:textId="38EDE49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4212AC05" w14:textId="1F15DDE6"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15E1D8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29F721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9EA044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1B3CD5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9D8AA56" w14:textId="0793FECA"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34E4C750" w14:textId="77777777" w:rsidTr="009A3811">
        <w:tc>
          <w:tcPr>
            <w:tcW w:w="0" w:type="auto"/>
            <w:hideMark/>
          </w:tcPr>
          <w:p w14:paraId="41FF165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0030</w:t>
            </w:r>
          </w:p>
        </w:tc>
        <w:tc>
          <w:tcPr>
            <w:tcW w:w="3233" w:type="dxa"/>
            <w:hideMark/>
          </w:tcPr>
          <w:p w14:paraId="720947B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în 3 categorii de risc</w:t>
            </w:r>
          </w:p>
        </w:tc>
        <w:tc>
          <w:tcPr>
            <w:tcW w:w="0" w:type="auto"/>
            <w:hideMark/>
          </w:tcPr>
          <w:p w14:paraId="6911538E" w14:textId="19679A60"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58BF5636" w14:textId="6B78C1FB"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F5B377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96BFF5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F2F730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A5D169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03824B3" w14:textId="130D2731"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2A6F03DC" w14:textId="77777777" w:rsidTr="009A3811">
        <w:tc>
          <w:tcPr>
            <w:tcW w:w="0" w:type="auto"/>
            <w:hideMark/>
          </w:tcPr>
          <w:p w14:paraId="47BF0B4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0040</w:t>
            </w:r>
          </w:p>
        </w:tc>
        <w:tc>
          <w:tcPr>
            <w:tcW w:w="3233" w:type="dxa"/>
            <w:hideMark/>
          </w:tcPr>
          <w:p w14:paraId="072053A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în mai mult de 3 categorii de risc</w:t>
            </w:r>
          </w:p>
        </w:tc>
        <w:tc>
          <w:tcPr>
            <w:tcW w:w="0" w:type="auto"/>
            <w:hideMark/>
          </w:tcPr>
          <w:p w14:paraId="7E35CB43" w14:textId="369A11B8"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0C3BFE0" w14:textId="0447BA1A"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0A4DC0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F98CDE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4210CC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2F54A0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6725A670" w14:textId="2F28B314"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306B77B7" w14:textId="77777777" w:rsidTr="009A3811">
        <w:tc>
          <w:tcPr>
            <w:tcW w:w="0" w:type="auto"/>
            <w:hideMark/>
          </w:tcPr>
          <w:p w14:paraId="7FF3DB5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0050</w:t>
            </w:r>
          </w:p>
        </w:tc>
        <w:tc>
          <w:tcPr>
            <w:tcW w:w="3233" w:type="dxa"/>
            <w:hideMark/>
          </w:tcPr>
          <w:p w14:paraId="4932C9A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RATĂ A DOBÂNZII</w:t>
            </w:r>
          </w:p>
        </w:tc>
        <w:tc>
          <w:tcPr>
            <w:tcW w:w="0" w:type="auto"/>
            <w:hideMark/>
          </w:tcPr>
          <w:p w14:paraId="3C6F3AA0" w14:textId="4FA68633"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228EAFD" w14:textId="7D2294A3"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46CB9DB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C6F2D7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030AF0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6B6CC1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2DBFC16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44509B94" w14:textId="77777777" w:rsidTr="009A3811">
        <w:tc>
          <w:tcPr>
            <w:tcW w:w="0" w:type="auto"/>
            <w:hideMark/>
          </w:tcPr>
          <w:p w14:paraId="25DC858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0060</w:t>
            </w:r>
          </w:p>
        </w:tc>
        <w:tc>
          <w:tcPr>
            <w:tcW w:w="3233" w:type="dxa"/>
            <w:hideMark/>
          </w:tcPr>
          <w:p w14:paraId="17FAF13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exclusiv în categoria de risc de rată a dobânzii</w:t>
            </w:r>
          </w:p>
        </w:tc>
        <w:tc>
          <w:tcPr>
            <w:tcW w:w="0" w:type="auto"/>
            <w:hideMark/>
          </w:tcPr>
          <w:p w14:paraId="1104CA23" w14:textId="427741DF"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FCB5D8E" w14:textId="376D9D24"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7D0FD4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79288C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B9531C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5A354B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05F5DDF4" w14:textId="5BECA59E"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1C3B807C" w14:textId="77777777" w:rsidTr="009A3811">
        <w:tc>
          <w:tcPr>
            <w:tcW w:w="0" w:type="auto"/>
            <w:hideMark/>
          </w:tcPr>
          <w:p w14:paraId="636D509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0070</w:t>
            </w:r>
          </w:p>
        </w:tc>
        <w:tc>
          <w:tcPr>
            <w:tcW w:w="3233" w:type="dxa"/>
            <w:hideMark/>
          </w:tcPr>
          <w:p w14:paraId="73BA545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Moneda cea mai importantă</w:t>
            </w:r>
          </w:p>
        </w:tc>
        <w:tc>
          <w:tcPr>
            <w:tcW w:w="0" w:type="auto"/>
            <w:hideMark/>
          </w:tcPr>
          <w:p w14:paraId="4E41E45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0E0F47B" w14:textId="3A9378D4"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10FF29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BDA77E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735B13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1DCEAA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32276F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58939ADD" w14:textId="77777777" w:rsidTr="009A3811">
        <w:tc>
          <w:tcPr>
            <w:tcW w:w="0" w:type="auto"/>
            <w:hideMark/>
          </w:tcPr>
          <w:p w14:paraId="31BCCDD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0080</w:t>
            </w:r>
          </w:p>
        </w:tc>
        <w:tc>
          <w:tcPr>
            <w:tcW w:w="3233" w:type="dxa"/>
            <w:hideMark/>
          </w:tcPr>
          <w:p w14:paraId="3331A52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doua monedă ca importanță</w:t>
            </w:r>
          </w:p>
        </w:tc>
        <w:tc>
          <w:tcPr>
            <w:tcW w:w="0" w:type="auto"/>
            <w:hideMark/>
          </w:tcPr>
          <w:p w14:paraId="129A4A5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422149D" w14:textId="7F01BAB0"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A7DA94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1D48F6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28EC84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A6EFF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314FAC5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2C6D5C8B" w14:textId="77777777" w:rsidTr="009A3811">
        <w:tc>
          <w:tcPr>
            <w:tcW w:w="0" w:type="auto"/>
            <w:hideMark/>
          </w:tcPr>
          <w:p w14:paraId="31A8E38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0090</w:t>
            </w:r>
          </w:p>
        </w:tc>
        <w:tc>
          <w:tcPr>
            <w:tcW w:w="3233" w:type="dxa"/>
            <w:hideMark/>
          </w:tcPr>
          <w:p w14:paraId="372DAAA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treia monedă ca importanță</w:t>
            </w:r>
          </w:p>
        </w:tc>
        <w:tc>
          <w:tcPr>
            <w:tcW w:w="0" w:type="auto"/>
            <w:hideMark/>
          </w:tcPr>
          <w:p w14:paraId="6DF9999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B873C62" w14:textId="141C6E8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E244A5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14534D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709D7C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FA7D0C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402045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0481874F" w14:textId="77777777" w:rsidTr="009A3811">
        <w:tc>
          <w:tcPr>
            <w:tcW w:w="0" w:type="auto"/>
            <w:hideMark/>
          </w:tcPr>
          <w:p w14:paraId="7A83F94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0100</w:t>
            </w:r>
          </w:p>
        </w:tc>
        <w:tc>
          <w:tcPr>
            <w:tcW w:w="3233" w:type="dxa"/>
            <w:hideMark/>
          </w:tcPr>
          <w:p w14:paraId="33FF7FF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patra monedă ca importanță</w:t>
            </w:r>
          </w:p>
        </w:tc>
        <w:tc>
          <w:tcPr>
            <w:tcW w:w="0" w:type="auto"/>
            <w:hideMark/>
          </w:tcPr>
          <w:p w14:paraId="6BDC4EB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DC3A5BA" w14:textId="41A65912"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55B9D11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4968D2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EB22DC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492AA2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0997180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73B19E37" w14:textId="77777777" w:rsidTr="009A3811">
        <w:tc>
          <w:tcPr>
            <w:tcW w:w="0" w:type="auto"/>
            <w:hideMark/>
          </w:tcPr>
          <w:p w14:paraId="78308F1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0110</w:t>
            </w:r>
          </w:p>
        </w:tc>
        <w:tc>
          <w:tcPr>
            <w:tcW w:w="3233" w:type="dxa"/>
            <w:hideMark/>
          </w:tcPr>
          <w:p w14:paraId="79EEDB7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cincea monedă ca importanță</w:t>
            </w:r>
          </w:p>
        </w:tc>
        <w:tc>
          <w:tcPr>
            <w:tcW w:w="0" w:type="auto"/>
            <w:hideMark/>
          </w:tcPr>
          <w:p w14:paraId="5B67652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89FCD01" w14:textId="7DB53C1E"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588585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AB0AA5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68384B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E86B09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6031DB2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3D644650" w14:textId="77777777" w:rsidTr="009A3811">
        <w:tc>
          <w:tcPr>
            <w:tcW w:w="0" w:type="auto"/>
            <w:hideMark/>
          </w:tcPr>
          <w:p w14:paraId="000F9A8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0120</w:t>
            </w:r>
          </w:p>
        </w:tc>
        <w:tc>
          <w:tcPr>
            <w:tcW w:w="3233" w:type="dxa"/>
            <w:hideMark/>
          </w:tcPr>
          <w:p w14:paraId="71A7A19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VALUTAR</w:t>
            </w:r>
          </w:p>
        </w:tc>
        <w:tc>
          <w:tcPr>
            <w:tcW w:w="0" w:type="auto"/>
            <w:hideMark/>
          </w:tcPr>
          <w:p w14:paraId="46EE8CA0" w14:textId="615CA9D2"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48959FEE" w14:textId="4E3FB1CB"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F25441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3B18C3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D5C980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4414F6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88F52B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00C528A7" w14:textId="77777777" w:rsidTr="009A3811">
        <w:tc>
          <w:tcPr>
            <w:tcW w:w="0" w:type="auto"/>
            <w:hideMark/>
          </w:tcPr>
          <w:p w14:paraId="4AEA482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0130</w:t>
            </w:r>
          </w:p>
        </w:tc>
        <w:tc>
          <w:tcPr>
            <w:tcW w:w="3233" w:type="dxa"/>
            <w:hideMark/>
          </w:tcPr>
          <w:p w14:paraId="18DDBE0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exclusiv în categoria de risc valutar</w:t>
            </w:r>
          </w:p>
        </w:tc>
        <w:tc>
          <w:tcPr>
            <w:tcW w:w="0" w:type="auto"/>
            <w:hideMark/>
          </w:tcPr>
          <w:p w14:paraId="0DCFFA8C" w14:textId="6F66A6F7"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ECB84D4" w14:textId="03BD4686"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0B3AD2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8069FF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134792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519FCD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1053B6A" w14:textId="3B507A26"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1102FE" w:rsidRPr="009F3ADA" w14:paraId="14605A46" w14:textId="77777777" w:rsidTr="009A3811">
        <w:tc>
          <w:tcPr>
            <w:tcW w:w="0" w:type="auto"/>
            <w:hideMark/>
          </w:tcPr>
          <w:p w14:paraId="26B54BA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0140</w:t>
            </w:r>
          </w:p>
        </w:tc>
        <w:tc>
          <w:tcPr>
            <w:tcW w:w="3233" w:type="dxa"/>
            <w:hideMark/>
          </w:tcPr>
          <w:p w14:paraId="142466B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Perechea valutară cea mai importantă</w:t>
            </w:r>
          </w:p>
        </w:tc>
        <w:tc>
          <w:tcPr>
            <w:tcW w:w="0" w:type="auto"/>
            <w:hideMark/>
          </w:tcPr>
          <w:p w14:paraId="5384608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878743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00F880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EE2157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25D398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D7614E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60D396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1102FE" w:rsidRPr="009F3ADA" w14:paraId="05DA2D9A" w14:textId="77777777" w:rsidTr="009A3811">
        <w:tc>
          <w:tcPr>
            <w:tcW w:w="0" w:type="auto"/>
            <w:hideMark/>
          </w:tcPr>
          <w:p w14:paraId="4F73DCD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0150</w:t>
            </w:r>
          </w:p>
        </w:tc>
        <w:tc>
          <w:tcPr>
            <w:tcW w:w="3233" w:type="dxa"/>
            <w:hideMark/>
          </w:tcPr>
          <w:p w14:paraId="2AEBDA6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doua pereche valutară ca importanță</w:t>
            </w:r>
          </w:p>
        </w:tc>
        <w:tc>
          <w:tcPr>
            <w:tcW w:w="0" w:type="auto"/>
            <w:hideMark/>
          </w:tcPr>
          <w:p w14:paraId="35277BE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6C889B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657C13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F9C3A5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777E46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D81ABA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2A382B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1102FE" w:rsidRPr="009F3ADA" w14:paraId="102BB82B" w14:textId="77777777" w:rsidTr="009A3811">
        <w:tc>
          <w:tcPr>
            <w:tcW w:w="0" w:type="auto"/>
            <w:hideMark/>
          </w:tcPr>
          <w:p w14:paraId="1E142A5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0160</w:t>
            </w:r>
          </w:p>
        </w:tc>
        <w:tc>
          <w:tcPr>
            <w:tcW w:w="3233" w:type="dxa"/>
            <w:hideMark/>
          </w:tcPr>
          <w:p w14:paraId="06A80FD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treia pereche valutară ca importanță</w:t>
            </w:r>
          </w:p>
        </w:tc>
        <w:tc>
          <w:tcPr>
            <w:tcW w:w="0" w:type="auto"/>
            <w:hideMark/>
          </w:tcPr>
          <w:p w14:paraId="7874573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243987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63D479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7EFC8A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4F1072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DAD541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3D80C5A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1102FE" w:rsidRPr="009F3ADA" w14:paraId="62CE85D6" w14:textId="77777777" w:rsidTr="009A3811">
        <w:tc>
          <w:tcPr>
            <w:tcW w:w="0" w:type="auto"/>
            <w:hideMark/>
          </w:tcPr>
          <w:p w14:paraId="7844FFF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0170</w:t>
            </w:r>
          </w:p>
        </w:tc>
        <w:tc>
          <w:tcPr>
            <w:tcW w:w="3233" w:type="dxa"/>
            <w:hideMark/>
          </w:tcPr>
          <w:p w14:paraId="0A1BB4D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patra pereche valutară ca importanță</w:t>
            </w:r>
          </w:p>
        </w:tc>
        <w:tc>
          <w:tcPr>
            <w:tcW w:w="0" w:type="auto"/>
            <w:hideMark/>
          </w:tcPr>
          <w:p w14:paraId="63F5725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A309CC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5FBF72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E448F9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745958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387529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6979055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1102FE" w:rsidRPr="009F3ADA" w14:paraId="71CAC215" w14:textId="77777777" w:rsidTr="009A3811">
        <w:tc>
          <w:tcPr>
            <w:tcW w:w="0" w:type="auto"/>
            <w:hideMark/>
          </w:tcPr>
          <w:p w14:paraId="27F15B8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lastRenderedPageBreak/>
              <w:t>0180</w:t>
            </w:r>
          </w:p>
        </w:tc>
        <w:tc>
          <w:tcPr>
            <w:tcW w:w="3233" w:type="dxa"/>
            <w:hideMark/>
          </w:tcPr>
          <w:p w14:paraId="71511C6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A cincea pereche valutară ca importanță</w:t>
            </w:r>
          </w:p>
        </w:tc>
        <w:tc>
          <w:tcPr>
            <w:tcW w:w="0" w:type="auto"/>
            <w:hideMark/>
          </w:tcPr>
          <w:p w14:paraId="4FBAF3B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224366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247EA7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BFB3B1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016A2F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F77C89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157D67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44266F4C" w14:textId="77777777" w:rsidTr="009A3811">
        <w:tc>
          <w:tcPr>
            <w:tcW w:w="0" w:type="auto"/>
            <w:hideMark/>
          </w:tcPr>
          <w:p w14:paraId="0A84845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0190</w:t>
            </w:r>
          </w:p>
        </w:tc>
        <w:tc>
          <w:tcPr>
            <w:tcW w:w="3233" w:type="dxa"/>
            <w:hideMark/>
          </w:tcPr>
          <w:p w14:paraId="18D58F8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CREDIT</w:t>
            </w:r>
          </w:p>
        </w:tc>
        <w:tc>
          <w:tcPr>
            <w:tcW w:w="0" w:type="auto"/>
            <w:hideMark/>
          </w:tcPr>
          <w:p w14:paraId="53EF7E3D" w14:textId="3180A885"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5CAC859" w14:textId="55D6B65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F74BE2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CB06E8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78D3B6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02DFE0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F77DB5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5250B735" w14:textId="77777777" w:rsidTr="009A3811">
        <w:tc>
          <w:tcPr>
            <w:tcW w:w="0" w:type="auto"/>
            <w:hideMark/>
          </w:tcPr>
          <w:p w14:paraId="1188968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0200</w:t>
            </w:r>
          </w:p>
        </w:tc>
        <w:tc>
          <w:tcPr>
            <w:tcW w:w="3233" w:type="dxa"/>
            <w:hideMark/>
          </w:tcPr>
          <w:p w14:paraId="400332F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exclusiv în categoria de risc de credit</w:t>
            </w:r>
          </w:p>
        </w:tc>
        <w:tc>
          <w:tcPr>
            <w:tcW w:w="0" w:type="auto"/>
            <w:hideMark/>
          </w:tcPr>
          <w:p w14:paraId="55C75F4F" w14:textId="059AA180"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5CA04645" w14:textId="0E97D265"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BB4A67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C634EE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8D65FF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32D3A9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092E5A74" w14:textId="64019AB5"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524819E2" w14:textId="77777777" w:rsidTr="009A3811">
        <w:tc>
          <w:tcPr>
            <w:tcW w:w="0" w:type="auto"/>
            <w:hideMark/>
          </w:tcPr>
          <w:p w14:paraId="7D91466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0210</w:t>
            </w:r>
          </w:p>
        </w:tc>
        <w:tc>
          <w:tcPr>
            <w:tcW w:w="3233" w:type="dxa"/>
            <w:hideMark/>
          </w:tcPr>
          <w:p w14:paraId="494657E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Tranzacții având la bază o singură semnătură</w:t>
            </w:r>
          </w:p>
        </w:tc>
        <w:tc>
          <w:tcPr>
            <w:tcW w:w="0" w:type="auto"/>
            <w:hideMark/>
          </w:tcPr>
          <w:p w14:paraId="2AA5F56F" w14:textId="5FCE6A5A"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BC55A9F" w14:textId="5170C96D"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D32618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0D5254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C030FF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C878EE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781312C" w14:textId="04AF3412"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544CF05A" w14:textId="77777777" w:rsidTr="009A3811">
        <w:tc>
          <w:tcPr>
            <w:tcW w:w="0" w:type="auto"/>
            <w:hideMark/>
          </w:tcPr>
          <w:p w14:paraId="3315D61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0220</w:t>
            </w:r>
          </w:p>
        </w:tc>
        <w:tc>
          <w:tcPr>
            <w:tcW w:w="3233" w:type="dxa"/>
            <w:hideMark/>
          </w:tcPr>
          <w:p w14:paraId="67C2BB7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Tranzacții având la bază mai multe semnături</w:t>
            </w:r>
          </w:p>
        </w:tc>
        <w:tc>
          <w:tcPr>
            <w:tcW w:w="0" w:type="auto"/>
            <w:hideMark/>
          </w:tcPr>
          <w:p w14:paraId="349DD9C2" w14:textId="12F46CF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6B7BD0C" w14:textId="798FDCBB"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1DC397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8958EB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C906EA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BF0C4C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EBA8353" w14:textId="0D135DBD"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76AAF346" w14:textId="77777777" w:rsidTr="009A3811">
        <w:tc>
          <w:tcPr>
            <w:tcW w:w="0" w:type="auto"/>
            <w:hideMark/>
          </w:tcPr>
          <w:p w14:paraId="26AD876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0230</w:t>
            </w:r>
          </w:p>
        </w:tc>
        <w:tc>
          <w:tcPr>
            <w:tcW w:w="3233" w:type="dxa"/>
            <w:hideMark/>
          </w:tcPr>
          <w:p w14:paraId="6A3185E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DEVALORIZARE A ACȚIUNILOR</w:t>
            </w:r>
          </w:p>
        </w:tc>
        <w:tc>
          <w:tcPr>
            <w:tcW w:w="0" w:type="auto"/>
            <w:hideMark/>
          </w:tcPr>
          <w:p w14:paraId="08EA4A22" w14:textId="5671D774"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F2AA6B6" w14:textId="5B98F652"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424A5BF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9B740B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63A7D7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CEC98B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2BABBE2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3334401C" w14:textId="77777777" w:rsidTr="009A3811">
        <w:tc>
          <w:tcPr>
            <w:tcW w:w="0" w:type="auto"/>
            <w:hideMark/>
          </w:tcPr>
          <w:p w14:paraId="1743B01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0240</w:t>
            </w:r>
          </w:p>
        </w:tc>
        <w:tc>
          <w:tcPr>
            <w:tcW w:w="3233" w:type="dxa"/>
            <w:hideMark/>
          </w:tcPr>
          <w:p w14:paraId="1AC7B00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exclusiv în categoria de risc de devalorizare a acțiunilor</w:t>
            </w:r>
          </w:p>
        </w:tc>
        <w:tc>
          <w:tcPr>
            <w:tcW w:w="0" w:type="auto"/>
            <w:hideMark/>
          </w:tcPr>
          <w:p w14:paraId="79B913E5" w14:textId="4A56BB74"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4C3D3519" w14:textId="1565BEAA"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32AD22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CCC11D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BD5DE8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6C7483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6298DDD" w14:textId="41224763"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47DA40AA" w14:textId="77777777" w:rsidTr="009A3811">
        <w:tc>
          <w:tcPr>
            <w:tcW w:w="0" w:type="auto"/>
            <w:hideMark/>
          </w:tcPr>
          <w:p w14:paraId="768C508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0250</w:t>
            </w:r>
          </w:p>
        </w:tc>
        <w:tc>
          <w:tcPr>
            <w:tcW w:w="3233" w:type="dxa"/>
            <w:hideMark/>
          </w:tcPr>
          <w:p w14:paraId="7FF9590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Tranzacții având la bază o singură semnătură</w:t>
            </w:r>
          </w:p>
        </w:tc>
        <w:tc>
          <w:tcPr>
            <w:tcW w:w="0" w:type="auto"/>
            <w:hideMark/>
          </w:tcPr>
          <w:p w14:paraId="1BD843D2" w14:textId="5CD2B3F5"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52AE9BA4" w14:textId="52D807C8"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F95BFF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EF1407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842ECC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A813B3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AC9B966" w14:textId="7DCAC883"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3E268C29" w14:textId="77777777" w:rsidTr="009A3811">
        <w:tc>
          <w:tcPr>
            <w:tcW w:w="0" w:type="auto"/>
            <w:hideMark/>
          </w:tcPr>
          <w:p w14:paraId="1AEFA5F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0260</w:t>
            </w:r>
          </w:p>
        </w:tc>
        <w:tc>
          <w:tcPr>
            <w:tcW w:w="3233" w:type="dxa"/>
            <w:hideMark/>
          </w:tcPr>
          <w:p w14:paraId="76BE669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Tranzacții având la bază mai multe semnături</w:t>
            </w:r>
          </w:p>
        </w:tc>
        <w:tc>
          <w:tcPr>
            <w:tcW w:w="0" w:type="auto"/>
            <w:hideMark/>
          </w:tcPr>
          <w:p w14:paraId="0171BC38" w14:textId="576B6560"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34E676C" w14:textId="17D914D8"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1E23AC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EF4DD0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2CF6D9E"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AAD22B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6F197190" w14:textId="7C528A87"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66CE1854" w14:textId="77777777" w:rsidTr="009A3811">
        <w:tc>
          <w:tcPr>
            <w:tcW w:w="0" w:type="auto"/>
            <w:hideMark/>
          </w:tcPr>
          <w:p w14:paraId="67DBDBA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0270</w:t>
            </w:r>
          </w:p>
        </w:tc>
        <w:tc>
          <w:tcPr>
            <w:tcW w:w="3233" w:type="dxa"/>
            <w:hideMark/>
          </w:tcPr>
          <w:p w14:paraId="7885AE6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MARFĂ</w:t>
            </w:r>
          </w:p>
        </w:tc>
        <w:tc>
          <w:tcPr>
            <w:tcW w:w="0" w:type="auto"/>
            <w:hideMark/>
          </w:tcPr>
          <w:p w14:paraId="3B810D2C" w14:textId="4A6A6E07"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0E323C7" w14:textId="16841CFB"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4E07E7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36111D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DF576AA"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CD6154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BFAFD2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26A32097" w14:textId="77777777" w:rsidTr="009A3811">
        <w:tc>
          <w:tcPr>
            <w:tcW w:w="0" w:type="auto"/>
            <w:hideMark/>
          </w:tcPr>
          <w:p w14:paraId="0B884F0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0280</w:t>
            </w:r>
          </w:p>
        </w:tc>
        <w:tc>
          <w:tcPr>
            <w:tcW w:w="3233" w:type="dxa"/>
            <w:hideMark/>
          </w:tcPr>
          <w:p w14:paraId="074C3A01"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Încadrate exclusiv în categoria de risc de marfă</w:t>
            </w:r>
          </w:p>
        </w:tc>
        <w:tc>
          <w:tcPr>
            <w:tcW w:w="0" w:type="auto"/>
            <w:hideMark/>
          </w:tcPr>
          <w:p w14:paraId="1259DAE9" w14:textId="111578A8"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C2FC602" w14:textId="12D5017A"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FCBF86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F0500F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E0338FB"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CADDE0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152AD110" w14:textId="64FD49D7"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r>
      <w:tr w:rsidR="00DB5B91" w:rsidRPr="009F3ADA" w14:paraId="55D02658" w14:textId="77777777" w:rsidTr="009A3811">
        <w:tc>
          <w:tcPr>
            <w:tcW w:w="0" w:type="auto"/>
            <w:hideMark/>
          </w:tcPr>
          <w:p w14:paraId="5B26092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0290</w:t>
            </w:r>
          </w:p>
        </w:tc>
        <w:tc>
          <w:tcPr>
            <w:tcW w:w="3233" w:type="dxa"/>
            <w:hideMark/>
          </w:tcPr>
          <w:p w14:paraId="5D3A4E9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Energie</w:t>
            </w:r>
          </w:p>
        </w:tc>
        <w:tc>
          <w:tcPr>
            <w:tcW w:w="0" w:type="auto"/>
            <w:hideMark/>
          </w:tcPr>
          <w:p w14:paraId="20E62238" w14:textId="6525476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7BB81A1" w14:textId="5B49FD85"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F68DBA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4C03BA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DBE9F7C"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4F93C00"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87FB1A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331D008E" w14:textId="77777777" w:rsidTr="009A3811">
        <w:tc>
          <w:tcPr>
            <w:tcW w:w="0" w:type="auto"/>
            <w:hideMark/>
          </w:tcPr>
          <w:p w14:paraId="2D5BD86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0300</w:t>
            </w:r>
          </w:p>
        </w:tc>
        <w:tc>
          <w:tcPr>
            <w:tcW w:w="3233" w:type="dxa"/>
            <w:hideMark/>
          </w:tcPr>
          <w:p w14:paraId="3789F0D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Metale</w:t>
            </w:r>
          </w:p>
        </w:tc>
        <w:tc>
          <w:tcPr>
            <w:tcW w:w="0" w:type="auto"/>
            <w:hideMark/>
          </w:tcPr>
          <w:p w14:paraId="41E92087" w14:textId="1E42541D"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791AC44" w14:textId="62B1A708"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1A8A82A6"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EC2DAE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4544CB3"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10F29C5"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DC253FD"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DB5B91" w:rsidRPr="009F3ADA" w14:paraId="77B2005F" w14:textId="77777777" w:rsidTr="009A3811">
        <w:tc>
          <w:tcPr>
            <w:tcW w:w="0" w:type="auto"/>
            <w:hideMark/>
          </w:tcPr>
          <w:p w14:paraId="7AAB13C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0310</w:t>
            </w:r>
          </w:p>
        </w:tc>
        <w:tc>
          <w:tcPr>
            <w:tcW w:w="3233" w:type="dxa"/>
            <w:hideMark/>
          </w:tcPr>
          <w:p w14:paraId="1022FBCF"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Produse agricole</w:t>
            </w:r>
          </w:p>
        </w:tc>
        <w:tc>
          <w:tcPr>
            <w:tcW w:w="0" w:type="auto"/>
            <w:hideMark/>
          </w:tcPr>
          <w:p w14:paraId="2922FC5B" w14:textId="60ED346E"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E3805D3" w14:textId="44B321F9" w:rsidR="00DB5B91" w:rsidRPr="009F3ADA" w:rsidRDefault="00DB5B91" w:rsidP="00DB5B9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6445688"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6B861F2"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A923FC7"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7A59E59"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77B862C4" w14:textId="77777777" w:rsidR="00DB5B91" w:rsidRPr="009F3ADA" w:rsidRDefault="00DB5B91" w:rsidP="00DB5B9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A234D1" w:rsidRPr="009F3ADA" w14:paraId="48AAB085" w14:textId="77777777" w:rsidTr="009A3811">
        <w:tc>
          <w:tcPr>
            <w:tcW w:w="0" w:type="auto"/>
            <w:hideMark/>
          </w:tcPr>
          <w:p w14:paraId="02C5306E"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0320</w:t>
            </w:r>
          </w:p>
        </w:tc>
        <w:tc>
          <w:tcPr>
            <w:tcW w:w="3233" w:type="dxa"/>
            <w:hideMark/>
          </w:tcPr>
          <w:p w14:paraId="61DF9F6F"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Condiții climatice</w:t>
            </w:r>
          </w:p>
        </w:tc>
        <w:tc>
          <w:tcPr>
            <w:tcW w:w="0" w:type="auto"/>
            <w:hideMark/>
          </w:tcPr>
          <w:p w14:paraId="5AF45D5C" w14:textId="2D0DD209"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BAE82D0" w14:textId="1D9D4762"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20DD5116"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57C85A4"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51FDDCF"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28D4A5B"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616A5E26"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A234D1" w:rsidRPr="009F3ADA" w14:paraId="523B8F7F" w14:textId="77777777" w:rsidTr="009A3811">
        <w:tc>
          <w:tcPr>
            <w:tcW w:w="0" w:type="auto"/>
            <w:hideMark/>
          </w:tcPr>
          <w:p w14:paraId="5742BA8D"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0330</w:t>
            </w:r>
          </w:p>
        </w:tc>
        <w:tc>
          <w:tcPr>
            <w:tcW w:w="3233" w:type="dxa"/>
            <w:hideMark/>
          </w:tcPr>
          <w:p w14:paraId="35FBA411"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Alte mărfuri</w:t>
            </w:r>
          </w:p>
        </w:tc>
        <w:tc>
          <w:tcPr>
            <w:tcW w:w="0" w:type="auto"/>
            <w:hideMark/>
          </w:tcPr>
          <w:p w14:paraId="11D1E8C9" w14:textId="4928D574"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3CDC1ADF" w14:textId="5BD0449C"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62FFAB29"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5562F0C"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6578918"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7333E39"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03E70F1D"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A234D1" w:rsidRPr="009F3ADA" w14:paraId="52CF099F" w14:textId="77777777" w:rsidTr="009A3811">
        <w:tc>
          <w:tcPr>
            <w:tcW w:w="0" w:type="auto"/>
            <w:hideMark/>
          </w:tcPr>
          <w:p w14:paraId="51FCCB4F"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0340</w:t>
            </w:r>
          </w:p>
        </w:tc>
        <w:tc>
          <w:tcPr>
            <w:tcW w:w="3233" w:type="dxa"/>
            <w:hideMark/>
          </w:tcPr>
          <w:p w14:paraId="6A107D2C"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ALTE RISCURI</w:t>
            </w:r>
          </w:p>
        </w:tc>
        <w:tc>
          <w:tcPr>
            <w:tcW w:w="0" w:type="auto"/>
            <w:hideMark/>
          </w:tcPr>
          <w:p w14:paraId="159EFB45" w14:textId="71A22D7A"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0F1A4A54" w14:textId="6CEF65A3" w:rsidR="00A234D1" w:rsidRPr="009F3ADA" w:rsidRDefault="00A234D1" w:rsidP="00A234D1">
            <w:pPr>
              <w:spacing w:before="100" w:beforeAutospacing="1" w:after="100" w:afterAutospacing="1"/>
              <w:jc w:val="center"/>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X</w:t>
            </w:r>
          </w:p>
        </w:tc>
        <w:tc>
          <w:tcPr>
            <w:tcW w:w="0" w:type="auto"/>
            <w:hideMark/>
          </w:tcPr>
          <w:p w14:paraId="7EA23E32"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1390185"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2FC20CF"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D8388B4"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840" w:type="dxa"/>
            <w:hideMark/>
          </w:tcPr>
          <w:p w14:paraId="4A20439F" w14:textId="77777777" w:rsidR="00A234D1" w:rsidRPr="009F3ADA" w:rsidRDefault="00A234D1" w:rsidP="00A234D1">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bl>
    <w:p w14:paraId="6000D39C" w14:textId="77777777" w:rsidR="006555C1" w:rsidRPr="009F3ADA" w:rsidRDefault="006555C1" w:rsidP="006555C1">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6555C1" w:rsidRPr="009F3ADA" w:rsidSect="001102FE">
          <w:pgSz w:w="16838" w:h="11906" w:orient="landscape" w:code="9"/>
          <w:pgMar w:top="1701" w:right="1134" w:bottom="851" w:left="1134" w:header="709" w:footer="709" w:gutter="0"/>
          <w:cols w:space="708"/>
          <w:docGrid w:linePitch="360"/>
        </w:sectPr>
      </w:pPr>
    </w:p>
    <w:p w14:paraId="426E202C" w14:textId="26DC6C88" w:rsidR="006555C1" w:rsidRPr="009F3ADA" w:rsidRDefault="006555C1" w:rsidP="006555C1">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lastRenderedPageBreak/>
        <w:t xml:space="preserve">Modul de completare a raportului </w:t>
      </w:r>
    </w:p>
    <w:p w14:paraId="7C1D97B7" w14:textId="77777777" w:rsidR="006555C1" w:rsidRPr="009F3ADA" w:rsidRDefault="006555C1" w:rsidP="006555C1">
      <w:pPr>
        <w:spacing w:before="100" w:beforeAutospacing="1" w:after="100" w:afterAutospacing="1" w:line="240" w:lineRule="auto"/>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C 34.03 RISCUL DE CREDIT AL CONTRAPĂRȚII: EXPUNERI LA CCR TRATATE CU ABORDĂRI STANDARDIZATE: SA-CCR sau VERSIUNEA SIMPLIFICATĂ A SA-CCR (CCR 3)</w:t>
      </w:r>
    </w:p>
    <w:p w14:paraId="0FFF25EB" w14:textId="3C855190" w:rsidR="006555C1" w:rsidRPr="009F3ADA" w:rsidRDefault="006555C1" w:rsidP="006555C1">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Instrucțiuni privind anumite poziții</w:t>
      </w:r>
    </w:p>
    <w:tbl>
      <w:tblPr>
        <w:tblStyle w:val="TableGrid"/>
        <w:tblW w:w="9631" w:type="dxa"/>
        <w:tblLook w:val="04A0" w:firstRow="1" w:lastRow="0" w:firstColumn="1" w:lastColumn="0" w:noHBand="0" w:noVBand="1"/>
      </w:tblPr>
      <w:tblGrid>
        <w:gridCol w:w="696"/>
        <w:gridCol w:w="8935"/>
      </w:tblGrid>
      <w:tr w:rsidR="006555C1" w:rsidRPr="009F3ADA" w14:paraId="4352851B" w14:textId="77777777" w:rsidTr="00A95EFA">
        <w:tc>
          <w:tcPr>
            <w:tcW w:w="9631" w:type="dxa"/>
            <w:gridSpan w:val="2"/>
            <w:hideMark/>
          </w:tcPr>
          <w:p w14:paraId="7A6D047F" w14:textId="77777777" w:rsidR="006555C1" w:rsidRPr="009F3ADA" w:rsidRDefault="006555C1" w:rsidP="006555C1">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r>
      <w:tr w:rsidR="006555C1" w:rsidRPr="009F3ADA" w14:paraId="5FDD18B4" w14:textId="77777777" w:rsidTr="00A95EFA">
        <w:tc>
          <w:tcPr>
            <w:tcW w:w="0" w:type="auto"/>
            <w:hideMark/>
          </w:tcPr>
          <w:p w14:paraId="4FC93825"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w:t>
            </w:r>
          </w:p>
        </w:tc>
        <w:tc>
          <w:tcPr>
            <w:tcW w:w="9061" w:type="dxa"/>
            <w:hideMark/>
          </w:tcPr>
          <w:p w14:paraId="757BCD63"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MONEDA</w:t>
            </w:r>
          </w:p>
          <w:p w14:paraId="29834906" w14:textId="7E1EB23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În cazul tranzacțiilor încadrate în categoria riscului de rată a dobânzii, se </w:t>
            </w:r>
            <w:r w:rsidR="00464CB4" w:rsidRPr="009F3ADA">
              <w:rPr>
                <w:rFonts w:ascii="Times New Roman" w:eastAsia="Times New Roman" w:hAnsi="Times New Roman" w:cs="Times New Roman"/>
                <w:sz w:val="24"/>
                <w:szCs w:val="24"/>
                <w:lang w:eastAsia="ro-MD"/>
              </w:rPr>
              <w:t>indică</w:t>
            </w:r>
            <w:r w:rsidR="00464CB4" w:rsidRPr="009F3ADA">
              <w:rPr>
                <w:rFonts w:ascii="Times New Roman" w:eastAsia="Times New Roman" w:hAnsi="Times New Roman" w:cs="Times New Roman"/>
                <w:sz w:val="24"/>
                <w:szCs w:val="24"/>
                <w:lang w:val="ro-RO" w:eastAsia="ro-MD"/>
              </w:rPr>
              <w:t xml:space="preserve"> </w:t>
            </w:r>
            <w:r w:rsidRPr="009F3ADA">
              <w:rPr>
                <w:rFonts w:ascii="Times New Roman" w:eastAsia="Times New Roman" w:hAnsi="Times New Roman" w:cs="Times New Roman"/>
                <w:sz w:val="24"/>
                <w:szCs w:val="24"/>
                <w:lang w:eastAsia="ro-MD"/>
              </w:rPr>
              <w:t>moneda în care este denominată tranzacția.</w:t>
            </w:r>
          </w:p>
          <w:p w14:paraId="2C9540F9" w14:textId="1A7ADF4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În cazul tranzacțiilor încadrate în categoria riscului de schimb valutar, se </w:t>
            </w:r>
            <w:r w:rsidR="00464CB4" w:rsidRPr="009F3ADA">
              <w:rPr>
                <w:rFonts w:ascii="Times New Roman" w:eastAsia="Times New Roman" w:hAnsi="Times New Roman" w:cs="Times New Roman"/>
                <w:sz w:val="24"/>
                <w:szCs w:val="24"/>
                <w:lang w:eastAsia="ro-MD"/>
              </w:rPr>
              <w:t xml:space="preserve">indică </w:t>
            </w:r>
            <w:r w:rsidRPr="009F3ADA">
              <w:rPr>
                <w:rFonts w:ascii="Times New Roman" w:eastAsia="Times New Roman" w:hAnsi="Times New Roman" w:cs="Times New Roman"/>
                <w:sz w:val="24"/>
                <w:szCs w:val="24"/>
                <w:lang w:eastAsia="ro-MD"/>
              </w:rPr>
              <w:t xml:space="preserve">moneda în care este denominat unul dintre cele două segmente ale tranzacției. </w:t>
            </w:r>
            <w:r w:rsidR="002337BD" w:rsidRPr="009F3ADA">
              <w:rPr>
                <w:rFonts w:ascii="Times New Roman" w:eastAsia="Times New Roman" w:hAnsi="Times New Roman" w:cs="Times New Roman"/>
                <w:sz w:val="24"/>
                <w:szCs w:val="24"/>
                <w:lang w:eastAsia="ro-MD"/>
              </w:rPr>
              <w:t>Băncile</w:t>
            </w:r>
            <w:r w:rsidRPr="009F3ADA">
              <w:rPr>
                <w:rFonts w:ascii="Times New Roman" w:eastAsia="Times New Roman" w:hAnsi="Times New Roman" w:cs="Times New Roman"/>
                <w:sz w:val="24"/>
                <w:szCs w:val="24"/>
                <w:lang w:eastAsia="ro-MD"/>
              </w:rPr>
              <w:t xml:space="preserve"> trebuie să introducă monedele în perechea valutară în ordine alfabetică, de exemplu pentru perechea dolar american/euro, indicați EUR în această coloană și USD în coloana 0020.</w:t>
            </w:r>
          </w:p>
          <w:p w14:paraId="74EA6978"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 utilizează codurile ISO ale monedelor.</w:t>
            </w:r>
          </w:p>
        </w:tc>
      </w:tr>
      <w:tr w:rsidR="006555C1" w:rsidRPr="009F3ADA" w14:paraId="134DBF57" w14:textId="77777777" w:rsidTr="00A95EFA">
        <w:tc>
          <w:tcPr>
            <w:tcW w:w="0" w:type="auto"/>
            <w:hideMark/>
          </w:tcPr>
          <w:p w14:paraId="400991D3"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w:t>
            </w:r>
          </w:p>
        </w:tc>
        <w:tc>
          <w:tcPr>
            <w:tcW w:w="9061" w:type="dxa"/>
            <w:hideMark/>
          </w:tcPr>
          <w:p w14:paraId="4A2C1CB9"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DOUA MONEDĂ DIN PERECHE</w:t>
            </w:r>
          </w:p>
          <w:p w14:paraId="1956D394" w14:textId="48E338F3"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În cazul tranzacțiilor încadrate în categoria riscului de schimb valutar, se </w:t>
            </w:r>
            <w:r w:rsidR="005049B1" w:rsidRPr="009F3ADA">
              <w:rPr>
                <w:rFonts w:ascii="Times New Roman" w:eastAsia="Times New Roman" w:hAnsi="Times New Roman" w:cs="Times New Roman"/>
                <w:sz w:val="24"/>
                <w:szCs w:val="24"/>
                <w:lang w:eastAsia="ro-MD"/>
              </w:rPr>
              <w:t xml:space="preserve">indică </w:t>
            </w:r>
            <w:r w:rsidRPr="009F3ADA">
              <w:rPr>
                <w:rFonts w:ascii="Times New Roman" w:eastAsia="Times New Roman" w:hAnsi="Times New Roman" w:cs="Times New Roman"/>
                <w:sz w:val="24"/>
                <w:szCs w:val="24"/>
                <w:lang w:eastAsia="ro-MD"/>
              </w:rPr>
              <w:t xml:space="preserve">moneda în care este denominat celălalt segment al tranzacției (față de cel avut în vedere în coloana 0010). </w:t>
            </w:r>
            <w:r w:rsidR="002337BD" w:rsidRPr="009F3ADA">
              <w:rPr>
                <w:rFonts w:ascii="Times New Roman" w:eastAsia="Times New Roman" w:hAnsi="Times New Roman" w:cs="Times New Roman"/>
                <w:sz w:val="24"/>
                <w:szCs w:val="24"/>
                <w:lang w:eastAsia="ro-MD"/>
              </w:rPr>
              <w:t>Băncile</w:t>
            </w:r>
            <w:r w:rsidRPr="009F3ADA">
              <w:rPr>
                <w:rFonts w:ascii="Times New Roman" w:eastAsia="Times New Roman" w:hAnsi="Times New Roman" w:cs="Times New Roman"/>
                <w:sz w:val="24"/>
                <w:szCs w:val="24"/>
                <w:lang w:eastAsia="ro-MD"/>
              </w:rPr>
              <w:t xml:space="preserve"> trebuie să introducă monedele în perechea valutară în ordine alfabetică, de exemplu pentru perechea dolar american/euro, indicați USD în această coloană și EUR în coloana 0010.</w:t>
            </w:r>
          </w:p>
          <w:p w14:paraId="32FF9D99"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 utilizează codurile ISO ale monedelor.</w:t>
            </w:r>
          </w:p>
        </w:tc>
      </w:tr>
      <w:tr w:rsidR="006555C1" w:rsidRPr="009F3ADA" w14:paraId="2DF71ABD" w14:textId="77777777" w:rsidTr="00A95EFA">
        <w:tc>
          <w:tcPr>
            <w:tcW w:w="0" w:type="auto"/>
            <w:hideMark/>
          </w:tcPr>
          <w:p w14:paraId="28B22E65"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w:t>
            </w:r>
          </w:p>
        </w:tc>
        <w:tc>
          <w:tcPr>
            <w:tcW w:w="9061" w:type="dxa"/>
            <w:hideMark/>
          </w:tcPr>
          <w:p w14:paraId="56AA9E99"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NUMĂRUL DE TRANZACȚII</w:t>
            </w:r>
          </w:p>
          <w:p w14:paraId="6A933F7A"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0020 din formularul C 34.02.</w:t>
            </w:r>
          </w:p>
        </w:tc>
      </w:tr>
      <w:tr w:rsidR="006555C1" w:rsidRPr="009F3ADA" w14:paraId="10A82E51" w14:textId="77777777" w:rsidTr="00A95EFA">
        <w:tc>
          <w:tcPr>
            <w:tcW w:w="0" w:type="auto"/>
            <w:hideMark/>
          </w:tcPr>
          <w:p w14:paraId="7BC9A251"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0040</w:t>
            </w:r>
          </w:p>
        </w:tc>
        <w:tc>
          <w:tcPr>
            <w:tcW w:w="9061" w:type="dxa"/>
            <w:hideMark/>
          </w:tcPr>
          <w:p w14:paraId="6BBDD1AC" w14:textId="77777777" w:rsidR="00530C01" w:rsidRPr="009F3ADA" w:rsidRDefault="00530C0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 NOȚIONALE </w:t>
            </w:r>
          </w:p>
          <w:p w14:paraId="1AAD97E0" w14:textId="7ABACFAB"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0030 din formularul C 34.02.</w:t>
            </w:r>
          </w:p>
        </w:tc>
      </w:tr>
      <w:tr w:rsidR="006555C1" w:rsidRPr="009F3ADA" w14:paraId="4F1B1DE9" w14:textId="77777777" w:rsidTr="00A95EFA">
        <w:tc>
          <w:tcPr>
            <w:tcW w:w="0" w:type="auto"/>
            <w:hideMark/>
          </w:tcPr>
          <w:p w14:paraId="1F059269"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w:t>
            </w:r>
          </w:p>
        </w:tc>
        <w:tc>
          <w:tcPr>
            <w:tcW w:w="9061" w:type="dxa"/>
            <w:hideMark/>
          </w:tcPr>
          <w:p w14:paraId="33CE9216"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POZITIVĂ</w:t>
            </w:r>
          </w:p>
          <w:p w14:paraId="16C72036"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Suma valorilor de piață curente (CMV) pentru toate seturile de acoperire a riscului cu CMV pozitivă în categoria de risc corespunzătoare.</w:t>
            </w:r>
          </w:p>
          <w:p w14:paraId="702B7B03"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CMV la nivelul setului de acoperire a riscului se determină prin compensarea valorilor de piață pozitive și negative ale tranzacțiilor în cadrul unui singur set de acoperire a riscului, incluzând orice garanție reală deținută sau furnizată.</w:t>
            </w:r>
          </w:p>
        </w:tc>
      </w:tr>
      <w:tr w:rsidR="006555C1" w:rsidRPr="009F3ADA" w14:paraId="5F36C177" w14:textId="77777777" w:rsidTr="00A95EFA">
        <w:tc>
          <w:tcPr>
            <w:tcW w:w="0" w:type="auto"/>
            <w:hideMark/>
          </w:tcPr>
          <w:p w14:paraId="5E574098"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0060</w:t>
            </w:r>
          </w:p>
        </w:tc>
        <w:tc>
          <w:tcPr>
            <w:tcW w:w="9061" w:type="dxa"/>
            <w:hideMark/>
          </w:tcPr>
          <w:p w14:paraId="5455F5F6"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NEGATIVĂ</w:t>
            </w:r>
          </w:p>
          <w:p w14:paraId="00C9CA0B"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Suma valorilor de piață curente absolute (CMV) pentru toate seturile de acoperire a riscului cu CMV negativă în categoria de risc corespunzătoare.</w:t>
            </w:r>
          </w:p>
          <w:p w14:paraId="5858BC25"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CMV la nivelul setului de acoperire a riscului se determină prin compensarea valorilor de piață pozitive și negative ale tranzacțiilor în cadrul unui singur set de acoperire a riscului, incluzând orice garanție reală deținută sau furnizată.</w:t>
            </w:r>
          </w:p>
        </w:tc>
      </w:tr>
      <w:tr w:rsidR="006555C1" w:rsidRPr="009F3ADA" w14:paraId="013CF667" w14:textId="77777777" w:rsidTr="00A95EFA">
        <w:tc>
          <w:tcPr>
            <w:tcW w:w="0" w:type="auto"/>
            <w:hideMark/>
          </w:tcPr>
          <w:p w14:paraId="52A8D85B"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0070</w:t>
            </w:r>
          </w:p>
        </w:tc>
        <w:tc>
          <w:tcPr>
            <w:tcW w:w="9061" w:type="dxa"/>
            <w:hideMark/>
          </w:tcPr>
          <w:p w14:paraId="32810B01"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MAJORARE</w:t>
            </w:r>
          </w:p>
          <w:p w14:paraId="651D0299" w14:textId="073C0DBD" w:rsidR="002B0462" w:rsidRPr="009F3ADA" w:rsidRDefault="002B0462" w:rsidP="002B0462">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Punctele </w:t>
            </w:r>
            <w:r w:rsidR="009A2911" w:rsidRPr="009F3ADA">
              <w:rPr>
                <w:rFonts w:ascii="Times New Roman" w:eastAsia="Times New Roman" w:hAnsi="Times New Roman" w:cs="Times New Roman"/>
                <w:sz w:val="24"/>
                <w:szCs w:val="24"/>
                <w:lang w:eastAsia="ro-MD"/>
              </w:rPr>
              <w:t>7</w:t>
            </w:r>
            <w:r w:rsidR="00471B84" w:rsidRPr="009F3ADA">
              <w:rPr>
                <w:rFonts w:ascii="Times New Roman" w:eastAsia="Times New Roman" w:hAnsi="Times New Roman" w:cs="Times New Roman"/>
                <w:sz w:val="24"/>
                <w:szCs w:val="24"/>
                <w:lang w:eastAsia="ro-MD"/>
              </w:rPr>
              <w:t>8</w:t>
            </w:r>
            <w:r w:rsidR="009A2911" w:rsidRPr="009F3ADA">
              <w:rPr>
                <w:rFonts w:ascii="Times New Roman" w:eastAsia="Times New Roman" w:hAnsi="Times New Roman" w:cs="Times New Roman"/>
                <w:sz w:val="24"/>
                <w:szCs w:val="24"/>
                <w:lang w:eastAsia="ro-MD"/>
              </w:rPr>
              <w:t>-9</w:t>
            </w:r>
            <w:r w:rsidR="00693788" w:rsidRPr="009F3ADA">
              <w:rPr>
                <w:rFonts w:ascii="Times New Roman" w:eastAsia="Times New Roman" w:hAnsi="Times New Roman" w:cs="Times New Roman"/>
                <w:sz w:val="24"/>
                <w:szCs w:val="24"/>
                <w:lang w:eastAsia="ro-MD"/>
              </w:rPr>
              <w:t>8</w:t>
            </w:r>
            <w:r w:rsidRPr="009F3ADA">
              <w:rPr>
                <w:rFonts w:ascii="Times New Roman" w:eastAsia="Times New Roman" w:hAnsi="Times New Roman" w:cs="Times New Roman"/>
                <w:sz w:val="24"/>
                <w:szCs w:val="24"/>
                <w:lang w:eastAsia="ro-MD"/>
              </w:rPr>
              <w:t xml:space="preserve"> și </w:t>
            </w:r>
            <w:r w:rsidR="00693788" w:rsidRPr="009F3ADA">
              <w:rPr>
                <w:rFonts w:ascii="Times New Roman" w:eastAsia="Times New Roman" w:hAnsi="Times New Roman" w:cs="Times New Roman"/>
                <w:sz w:val="24"/>
                <w:szCs w:val="24"/>
                <w:lang w:eastAsia="ro-MD"/>
              </w:rPr>
              <w:t>100</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7AA0A934" w14:textId="346F8EFB" w:rsidR="006555C1" w:rsidRPr="009F3ADA" w:rsidRDefault="007C37CB"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Banca</w:t>
            </w:r>
            <w:r w:rsidR="006555C1" w:rsidRPr="009F3ADA">
              <w:rPr>
                <w:rFonts w:ascii="Times New Roman" w:eastAsia="Times New Roman" w:hAnsi="Times New Roman" w:cs="Times New Roman"/>
                <w:sz w:val="24"/>
                <w:szCs w:val="24"/>
                <w:lang w:eastAsia="ro-MD"/>
              </w:rPr>
              <w:t xml:space="preserve"> raportează suma tuturor majorărilor din cadrul setului de acoperire a riscului/categoriei de risc corespunzător (corespunzătoare).</w:t>
            </w:r>
          </w:p>
          <w:p w14:paraId="00881FEA" w14:textId="485BEF0D"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Majorarea pentru fiecare categorie de risc care este utilizată pentru a determina expunerea viitoare potențială a unui set de compensare în conformitate cu </w:t>
            </w:r>
            <w:r w:rsidR="002B0462" w:rsidRPr="009F3ADA">
              <w:rPr>
                <w:rFonts w:ascii="Times New Roman" w:eastAsia="Times New Roman" w:hAnsi="Times New Roman" w:cs="Times New Roman"/>
                <w:sz w:val="24"/>
                <w:szCs w:val="24"/>
                <w:lang w:eastAsia="ro-MD"/>
              </w:rPr>
              <w:t xml:space="preserve">punctul </w:t>
            </w:r>
            <w:r w:rsidR="009A2911" w:rsidRPr="009F3ADA">
              <w:rPr>
                <w:rFonts w:ascii="Times New Roman" w:eastAsia="Times New Roman" w:hAnsi="Times New Roman" w:cs="Times New Roman"/>
                <w:sz w:val="24"/>
                <w:szCs w:val="24"/>
                <w:lang w:eastAsia="ro-MD"/>
              </w:rPr>
              <w:t>6</w:t>
            </w:r>
            <w:r w:rsidR="00693788" w:rsidRPr="009F3ADA">
              <w:rPr>
                <w:rFonts w:ascii="Times New Roman" w:eastAsia="Times New Roman" w:hAnsi="Times New Roman" w:cs="Times New Roman"/>
                <w:sz w:val="24"/>
                <w:szCs w:val="24"/>
                <w:lang w:eastAsia="ro-MD"/>
              </w:rPr>
              <w:t>6</w:t>
            </w:r>
            <w:r w:rsidR="002B0462" w:rsidRPr="009F3ADA">
              <w:rPr>
                <w:rFonts w:ascii="Times New Roman" w:eastAsia="Times New Roman" w:hAnsi="Times New Roman" w:cs="Times New Roman"/>
                <w:sz w:val="24"/>
                <w:szCs w:val="24"/>
                <w:lang w:eastAsia="ro-MD"/>
              </w:rPr>
              <w:t xml:space="preserve"> sau </w:t>
            </w:r>
            <w:r w:rsidR="009A2911" w:rsidRPr="009F3ADA">
              <w:rPr>
                <w:rFonts w:ascii="Times New Roman" w:eastAsia="Times New Roman" w:hAnsi="Times New Roman" w:cs="Times New Roman"/>
                <w:sz w:val="24"/>
                <w:szCs w:val="24"/>
                <w:lang w:eastAsia="ro-MD"/>
              </w:rPr>
              <w:t xml:space="preserve">punctul </w:t>
            </w:r>
            <w:r w:rsidR="00693788" w:rsidRPr="009F3ADA">
              <w:rPr>
                <w:rFonts w:ascii="Times New Roman" w:eastAsia="Times New Roman" w:hAnsi="Times New Roman" w:cs="Times New Roman"/>
                <w:sz w:val="24"/>
                <w:szCs w:val="24"/>
                <w:lang w:eastAsia="ro-MD"/>
              </w:rPr>
              <w:t>100</w:t>
            </w:r>
            <w:r w:rsidR="009A2911" w:rsidRPr="009F3ADA">
              <w:rPr>
                <w:rFonts w:ascii="Times New Roman" w:eastAsia="Times New Roman" w:hAnsi="Times New Roman" w:cs="Times New Roman"/>
                <w:sz w:val="24"/>
                <w:szCs w:val="24"/>
                <w:lang w:eastAsia="ro-MD"/>
              </w:rPr>
              <w:t xml:space="preserve"> </w:t>
            </w:r>
            <w:r w:rsidR="002B0462" w:rsidRPr="009F3ADA">
              <w:rPr>
                <w:rFonts w:ascii="Times New Roman" w:eastAsia="Times New Roman" w:hAnsi="Times New Roman" w:cs="Times New Roman"/>
                <w:sz w:val="24"/>
                <w:szCs w:val="24"/>
                <w:lang w:eastAsia="ro-MD"/>
              </w:rPr>
              <w:t xml:space="preserve"> subpunctul </w:t>
            </w:r>
            <w:r w:rsidR="00693788" w:rsidRPr="009F3ADA">
              <w:rPr>
                <w:rFonts w:ascii="Times New Roman" w:eastAsia="Times New Roman" w:hAnsi="Times New Roman" w:cs="Times New Roman"/>
                <w:sz w:val="24"/>
                <w:szCs w:val="24"/>
                <w:lang w:eastAsia="ro-MD"/>
              </w:rPr>
              <w:t>100</w:t>
            </w:r>
            <w:r w:rsidR="002B0462" w:rsidRPr="009F3ADA">
              <w:rPr>
                <w:rFonts w:ascii="Times New Roman" w:eastAsia="Times New Roman" w:hAnsi="Times New Roman" w:cs="Times New Roman"/>
                <w:sz w:val="24"/>
                <w:szCs w:val="24"/>
                <w:lang w:eastAsia="ro-MD"/>
              </w:rPr>
              <w:t>.</w:t>
            </w:r>
            <w:r w:rsidR="009A2911" w:rsidRPr="009F3ADA">
              <w:rPr>
                <w:rFonts w:ascii="Times New Roman" w:eastAsia="Times New Roman" w:hAnsi="Times New Roman" w:cs="Times New Roman"/>
                <w:sz w:val="24"/>
                <w:szCs w:val="24"/>
                <w:lang w:eastAsia="ro-MD"/>
              </w:rPr>
              <w:t>6.</w:t>
            </w:r>
            <w:r w:rsidR="002B0462"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002B0462" w:rsidRPr="009F3ADA">
              <w:rPr>
                <w:rFonts w:ascii="Times New Roman" w:eastAsia="Times New Roman" w:hAnsi="Times New Roman" w:cs="Times New Roman"/>
                <w:sz w:val="24"/>
                <w:szCs w:val="24"/>
                <w:lang w:eastAsia="ro-MD"/>
              </w:rPr>
              <w:t xml:space="preserve">cu privire la tratamentul riscului de credit al </w:t>
            </w:r>
            <w:proofErr w:type="spellStart"/>
            <w:r w:rsidR="002B0462" w:rsidRPr="009F3ADA">
              <w:rPr>
                <w:rFonts w:ascii="Times New Roman" w:eastAsia="Times New Roman" w:hAnsi="Times New Roman" w:cs="Times New Roman"/>
                <w:sz w:val="24"/>
                <w:szCs w:val="24"/>
                <w:lang w:eastAsia="ro-MD"/>
              </w:rPr>
              <w:t>contrapărţii</w:t>
            </w:r>
            <w:proofErr w:type="spellEnd"/>
            <w:r w:rsidR="002B0462" w:rsidRPr="009F3ADA">
              <w:rPr>
                <w:rFonts w:ascii="Times New Roman" w:eastAsia="Times New Roman" w:hAnsi="Times New Roman" w:cs="Times New Roman"/>
                <w:sz w:val="24"/>
                <w:szCs w:val="24"/>
                <w:lang w:eastAsia="ro-MD"/>
              </w:rPr>
              <w:t xml:space="preserve"> pentru bănci </w:t>
            </w:r>
            <w:r w:rsidRPr="009F3ADA">
              <w:rPr>
                <w:rFonts w:ascii="Times New Roman" w:eastAsia="Times New Roman" w:hAnsi="Times New Roman" w:cs="Times New Roman"/>
                <w:sz w:val="24"/>
                <w:szCs w:val="24"/>
                <w:lang w:eastAsia="ro-MD"/>
              </w:rPr>
              <w:t xml:space="preserve">se calculează în conformitate cu </w:t>
            </w:r>
            <w:r w:rsidR="002B0462" w:rsidRPr="009F3ADA">
              <w:rPr>
                <w:rFonts w:ascii="Times New Roman" w:eastAsia="Times New Roman" w:hAnsi="Times New Roman" w:cs="Times New Roman"/>
                <w:sz w:val="24"/>
                <w:szCs w:val="24"/>
                <w:lang w:eastAsia="ro-MD"/>
              </w:rPr>
              <w:t xml:space="preserve">punctele </w:t>
            </w:r>
            <w:r w:rsidR="00693788" w:rsidRPr="009F3ADA">
              <w:rPr>
                <w:rFonts w:ascii="Times New Roman" w:eastAsia="Times New Roman" w:hAnsi="Times New Roman" w:cs="Times New Roman"/>
                <w:sz w:val="24"/>
                <w:szCs w:val="24"/>
                <w:lang w:eastAsia="ro-MD"/>
              </w:rPr>
              <w:t>78</w:t>
            </w:r>
            <w:r w:rsidR="002B0462" w:rsidRPr="009F3ADA">
              <w:rPr>
                <w:rFonts w:ascii="Times New Roman" w:eastAsia="Times New Roman" w:hAnsi="Times New Roman" w:cs="Times New Roman"/>
                <w:sz w:val="24"/>
                <w:szCs w:val="24"/>
                <w:lang w:eastAsia="ro-MD"/>
              </w:rPr>
              <w:t>-</w:t>
            </w:r>
            <w:r w:rsidR="009A2911" w:rsidRPr="009F3ADA">
              <w:rPr>
                <w:rFonts w:ascii="Times New Roman" w:eastAsia="Times New Roman" w:hAnsi="Times New Roman" w:cs="Times New Roman"/>
                <w:sz w:val="24"/>
                <w:szCs w:val="24"/>
                <w:lang w:eastAsia="ro-MD"/>
              </w:rPr>
              <w:t>9</w:t>
            </w:r>
            <w:r w:rsidR="00693788" w:rsidRPr="009F3ADA">
              <w:rPr>
                <w:rFonts w:ascii="Times New Roman" w:eastAsia="Times New Roman" w:hAnsi="Times New Roman" w:cs="Times New Roman"/>
                <w:sz w:val="24"/>
                <w:szCs w:val="24"/>
                <w:lang w:eastAsia="ro-MD"/>
              </w:rPr>
              <w:t>8</w:t>
            </w:r>
            <w:r w:rsidR="002B0462" w:rsidRPr="009F3ADA">
              <w:rPr>
                <w:rFonts w:ascii="Times New Roman" w:eastAsia="Times New Roman" w:hAnsi="Times New Roman" w:cs="Times New Roman"/>
                <w:sz w:val="24"/>
                <w:szCs w:val="24"/>
                <w:lang w:eastAsia="ro-MD"/>
              </w:rPr>
              <w:t xml:space="preserve"> </w:t>
            </w:r>
            <w:r w:rsidRPr="009F3ADA">
              <w:rPr>
                <w:rFonts w:ascii="Times New Roman" w:eastAsia="Times New Roman" w:hAnsi="Times New Roman" w:cs="Times New Roman"/>
                <w:sz w:val="24"/>
                <w:szCs w:val="24"/>
                <w:lang w:eastAsia="ro-MD"/>
              </w:rPr>
              <w:t xml:space="preserve">din </w:t>
            </w:r>
            <w:r w:rsidR="002B0462" w:rsidRPr="009F3ADA">
              <w:rPr>
                <w:rFonts w:ascii="Times New Roman" w:eastAsia="Times New Roman" w:hAnsi="Times New Roman" w:cs="Times New Roman"/>
                <w:sz w:val="24"/>
                <w:szCs w:val="24"/>
                <w:lang w:eastAsia="ro-MD"/>
              </w:rPr>
              <w:t xml:space="preserve">Regulamentul </w:t>
            </w:r>
            <w:r w:rsidR="00E972F3" w:rsidRPr="009F3ADA">
              <w:rPr>
                <w:rFonts w:ascii="Times New Roman" w:eastAsia="Times New Roman" w:hAnsi="Times New Roman" w:cs="Times New Roman"/>
                <w:sz w:val="24"/>
                <w:szCs w:val="24"/>
                <w:lang w:eastAsia="ro-MD"/>
              </w:rPr>
              <w:t xml:space="preserve">nr.220/2025 </w:t>
            </w:r>
            <w:r w:rsidR="002B0462" w:rsidRPr="009F3ADA">
              <w:rPr>
                <w:rFonts w:ascii="Times New Roman" w:eastAsia="Times New Roman" w:hAnsi="Times New Roman" w:cs="Times New Roman"/>
                <w:sz w:val="24"/>
                <w:szCs w:val="24"/>
                <w:lang w:eastAsia="ro-MD"/>
              </w:rPr>
              <w:t xml:space="preserve">cu privire la tratamentul riscului de credit al </w:t>
            </w:r>
            <w:proofErr w:type="spellStart"/>
            <w:r w:rsidR="002B0462" w:rsidRPr="009F3ADA">
              <w:rPr>
                <w:rFonts w:ascii="Times New Roman" w:eastAsia="Times New Roman" w:hAnsi="Times New Roman" w:cs="Times New Roman"/>
                <w:sz w:val="24"/>
                <w:szCs w:val="24"/>
                <w:lang w:eastAsia="ro-MD"/>
              </w:rPr>
              <w:t>contrapărţii</w:t>
            </w:r>
            <w:proofErr w:type="spellEnd"/>
            <w:r w:rsidR="002B0462"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 xml:space="preserve">. Pentru SA-CCR simplificată se aplică dispozițiile prevăzute la </w:t>
            </w:r>
            <w:r w:rsidR="002B0462" w:rsidRPr="009F3ADA">
              <w:rPr>
                <w:rFonts w:ascii="Times New Roman" w:eastAsia="Times New Roman" w:hAnsi="Times New Roman" w:cs="Times New Roman"/>
                <w:sz w:val="24"/>
                <w:szCs w:val="24"/>
                <w:lang w:eastAsia="ro-MD"/>
              </w:rPr>
              <w:t xml:space="preserve">punctul </w:t>
            </w:r>
            <w:r w:rsidR="00693788" w:rsidRPr="009F3ADA">
              <w:rPr>
                <w:rFonts w:ascii="Times New Roman" w:eastAsia="Times New Roman" w:hAnsi="Times New Roman" w:cs="Times New Roman"/>
                <w:sz w:val="24"/>
                <w:szCs w:val="24"/>
                <w:lang w:eastAsia="ro-MD"/>
              </w:rPr>
              <w:t>100</w:t>
            </w:r>
            <w:r w:rsidRPr="009F3ADA">
              <w:rPr>
                <w:rFonts w:ascii="Times New Roman" w:eastAsia="Times New Roman" w:hAnsi="Times New Roman" w:cs="Times New Roman"/>
                <w:sz w:val="24"/>
                <w:szCs w:val="24"/>
                <w:lang w:eastAsia="ro-MD"/>
              </w:rPr>
              <w:t xml:space="preserve">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din Regulamentul </w:t>
            </w:r>
            <w:r w:rsidR="002B0462" w:rsidRPr="009F3ADA">
              <w:rPr>
                <w:rFonts w:ascii="Times New Roman" w:eastAsia="Times New Roman" w:hAnsi="Times New Roman" w:cs="Times New Roman"/>
                <w:sz w:val="24"/>
                <w:szCs w:val="24"/>
                <w:lang w:eastAsia="ro-MD"/>
              </w:rPr>
              <w:t xml:space="preserve">cu privire la tratamentul riscului de credit al </w:t>
            </w:r>
            <w:proofErr w:type="spellStart"/>
            <w:r w:rsidR="002B0462" w:rsidRPr="009F3ADA">
              <w:rPr>
                <w:rFonts w:ascii="Times New Roman" w:eastAsia="Times New Roman" w:hAnsi="Times New Roman" w:cs="Times New Roman"/>
                <w:sz w:val="24"/>
                <w:szCs w:val="24"/>
                <w:lang w:eastAsia="ro-MD"/>
              </w:rPr>
              <w:t>contrapărţii</w:t>
            </w:r>
            <w:proofErr w:type="spellEnd"/>
            <w:r w:rsidR="002B0462"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w:t>
            </w:r>
          </w:p>
        </w:tc>
      </w:tr>
    </w:tbl>
    <w:p w14:paraId="2813B5AA" w14:textId="77777777" w:rsidR="006555C1" w:rsidRPr="009F3ADA" w:rsidRDefault="006555C1" w:rsidP="006555C1">
      <w:pPr>
        <w:spacing w:before="100" w:beforeAutospacing="1" w:after="100" w:afterAutospacing="1" w:line="240" w:lineRule="auto"/>
        <w:rPr>
          <w:rFonts w:ascii="Times New Roman" w:eastAsia="Times New Roman" w:hAnsi="Times New Roman" w:cs="Times New Roman"/>
          <w:color w:val="000000"/>
          <w:sz w:val="27"/>
          <w:szCs w:val="27"/>
          <w:lang w:eastAsia="ro-MD"/>
        </w:rPr>
      </w:pPr>
    </w:p>
    <w:tbl>
      <w:tblPr>
        <w:tblStyle w:val="TableGrid"/>
        <w:tblW w:w="9600" w:type="dxa"/>
        <w:tblLook w:val="04A0" w:firstRow="1" w:lastRow="0" w:firstColumn="1" w:lastColumn="0" w:noHBand="0" w:noVBand="1"/>
      </w:tblPr>
      <w:tblGrid>
        <w:gridCol w:w="1770"/>
        <w:gridCol w:w="7830"/>
      </w:tblGrid>
      <w:tr w:rsidR="006555C1" w:rsidRPr="009F3ADA" w14:paraId="333084B9" w14:textId="77777777" w:rsidTr="001E5BEB">
        <w:tc>
          <w:tcPr>
            <w:tcW w:w="0" w:type="auto"/>
            <w:gridSpan w:val="2"/>
            <w:hideMark/>
          </w:tcPr>
          <w:p w14:paraId="172CF7F1" w14:textId="77777777" w:rsidR="006555C1" w:rsidRPr="009F3ADA" w:rsidRDefault="006555C1" w:rsidP="006555C1">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Rânduri</w:t>
            </w:r>
          </w:p>
        </w:tc>
      </w:tr>
      <w:tr w:rsidR="006555C1" w:rsidRPr="009F3ADA" w14:paraId="3F1F752F" w14:textId="77777777" w:rsidTr="001E5BEB">
        <w:tc>
          <w:tcPr>
            <w:tcW w:w="0" w:type="auto"/>
            <w:hideMark/>
          </w:tcPr>
          <w:p w14:paraId="676076D2"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0050,0120, 0190, 0230, 0270, 0340</w:t>
            </w:r>
          </w:p>
        </w:tc>
        <w:tc>
          <w:tcPr>
            <w:tcW w:w="0" w:type="auto"/>
            <w:hideMark/>
          </w:tcPr>
          <w:p w14:paraId="7ABB5507"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CATEGORIILE DE RISC</w:t>
            </w:r>
          </w:p>
          <w:p w14:paraId="63AE70E6" w14:textId="5BA7CB72" w:rsidR="00DE4097" w:rsidRPr="009F3ADA" w:rsidRDefault="00DE4097"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Punctele </w:t>
            </w:r>
            <w:r w:rsidR="004279F0" w:rsidRPr="009F3ADA">
              <w:rPr>
                <w:rFonts w:ascii="Times New Roman" w:eastAsia="Times New Roman" w:hAnsi="Times New Roman" w:cs="Times New Roman"/>
                <w:sz w:val="24"/>
                <w:szCs w:val="24"/>
                <w:lang w:eastAsia="ro-MD"/>
              </w:rPr>
              <w:t>5</w:t>
            </w:r>
            <w:r w:rsidR="00693788" w:rsidRPr="009F3ADA">
              <w:rPr>
                <w:rFonts w:ascii="Times New Roman" w:eastAsia="Times New Roman" w:hAnsi="Times New Roman" w:cs="Times New Roman"/>
                <w:sz w:val="24"/>
                <w:szCs w:val="24"/>
                <w:lang w:eastAsia="ro-MD"/>
              </w:rPr>
              <w:t>5</w:t>
            </w:r>
            <w:r w:rsidRPr="009F3ADA">
              <w:rPr>
                <w:rFonts w:ascii="Times New Roman" w:eastAsia="Times New Roman" w:hAnsi="Times New Roman" w:cs="Times New Roman"/>
                <w:sz w:val="24"/>
                <w:szCs w:val="24"/>
                <w:lang w:eastAsia="ro-MD"/>
              </w:rPr>
              <w:t>-</w:t>
            </w:r>
            <w:r w:rsidR="004279F0" w:rsidRPr="009F3ADA">
              <w:rPr>
                <w:rFonts w:ascii="Times New Roman" w:eastAsia="Times New Roman" w:hAnsi="Times New Roman" w:cs="Times New Roman"/>
                <w:sz w:val="24"/>
                <w:szCs w:val="24"/>
                <w:lang w:eastAsia="ro-MD"/>
              </w:rPr>
              <w:t>6</w:t>
            </w:r>
            <w:r w:rsidR="00693788" w:rsidRPr="009F3ADA">
              <w:rPr>
                <w:rFonts w:ascii="Times New Roman" w:eastAsia="Times New Roman" w:hAnsi="Times New Roman" w:cs="Times New Roman"/>
                <w:sz w:val="24"/>
                <w:szCs w:val="24"/>
                <w:lang w:eastAsia="ro-MD"/>
              </w:rPr>
              <w:t>5</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3555064F" w14:textId="7238FB12" w:rsidR="00DE4097"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se clasifică în conformitate cu categoria de risc din care fac parte, în conformitate cu </w:t>
            </w:r>
            <w:r w:rsidR="00DE4097" w:rsidRPr="009F3ADA">
              <w:rPr>
                <w:rFonts w:ascii="Times New Roman" w:eastAsia="Times New Roman" w:hAnsi="Times New Roman" w:cs="Times New Roman"/>
                <w:sz w:val="24"/>
                <w:szCs w:val="24"/>
                <w:lang w:eastAsia="ro-MD"/>
              </w:rPr>
              <w:t xml:space="preserve">punctele </w:t>
            </w:r>
            <w:r w:rsidR="004279F0" w:rsidRPr="009F3ADA">
              <w:rPr>
                <w:rFonts w:ascii="Times New Roman" w:eastAsia="Times New Roman" w:hAnsi="Times New Roman" w:cs="Times New Roman"/>
                <w:sz w:val="24"/>
                <w:szCs w:val="24"/>
                <w:lang w:eastAsia="ro-MD"/>
              </w:rPr>
              <w:t>5</w:t>
            </w:r>
            <w:r w:rsidR="00693788" w:rsidRPr="009F3ADA">
              <w:rPr>
                <w:rFonts w:ascii="Times New Roman" w:eastAsia="Times New Roman" w:hAnsi="Times New Roman" w:cs="Times New Roman"/>
                <w:sz w:val="24"/>
                <w:szCs w:val="24"/>
                <w:lang w:eastAsia="ro-MD"/>
              </w:rPr>
              <w:t>5</w:t>
            </w:r>
            <w:r w:rsidR="00DE4097" w:rsidRPr="009F3ADA">
              <w:rPr>
                <w:rFonts w:ascii="Times New Roman" w:eastAsia="Times New Roman" w:hAnsi="Times New Roman" w:cs="Times New Roman"/>
                <w:sz w:val="24"/>
                <w:szCs w:val="24"/>
                <w:lang w:eastAsia="ro-MD"/>
              </w:rPr>
              <w:t>-</w:t>
            </w:r>
            <w:r w:rsidR="004279F0" w:rsidRPr="009F3ADA">
              <w:rPr>
                <w:rFonts w:ascii="Times New Roman" w:eastAsia="Times New Roman" w:hAnsi="Times New Roman" w:cs="Times New Roman"/>
                <w:sz w:val="24"/>
                <w:szCs w:val="24"/>
                <w:lang w:eastAsia="ro-MD"/>
              </w:rPr>
              <w:t>5</w:t>
            </w:r>
            <w:r w:rsidR="00693788" w:rsidRPr="009F3ADA">
              <w:rPr>
                <w:rFonts w:ascii="Times New Roman" w:eastAsia="Times New Roman" w:hAnsi="Times New Roman" w:cs="Times New Roman"/>
                <w:sz w:val="24"/>
                <w:szCs w:val="24"/>
                <w:lang w:eastAsia="ro-MD"/>
              </w:rPr>
              <w:t>8</w:t>
            </w:r>
            <w:r w:rsidR="00DE4097"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00DE4097" w:rsidRPr="009F3ADA">
              <w:rPr>
                <w:rFonts w:ascii="Times New Roman" w:eastAsia="Times New Roman" w:hAnsi="Times New Roman" w:cs="Times New Roman"/>
                <w:sz w:val="24"/>
                <w:szCs w:val="24"/>
                <w:lang w:eastAsia="ro-MD"/>
              </w:rPr>
              <w:t xml:space="preserve">cu privire la tratamentul riscului de credit al </w:t>
            </w:r>
            <w:proofErr w:type="spellStart"/>
            <w:r w:rsidR="00DE4097" w:rsidRPr="009F3ADA">
              <w:rPr>
                <w:rFonts w:ascii="Times New Roman" w:eastAsia="Times New Roman" w:hAnsi="Times New Roman" w:cs="Times New Roman"/>
                <w:sz w:val="24"/>
                <w:szCs w:val="24"/>
                <w:lang w:eastAsia="ro-MD"/>
              </w:rPr>
              <w:t>contrapărţii</w:t>
            </w:r>
            <w:proofErr w:type="spellEnd"/>
            <w:r w:rsidR="00DE4097" w:rsidRPr="009F3ADA">
              <w:rPr>
                <w:rFonts w:ascii="Times New Roman" w:eastAsia="Times New Roman" w:hAnsi="Times New Roman" w:cs="Times New Roman"/>
                <w:sz w:val="24"/>
                <w:szCs w:val="24"/>
                <w:lang w:eastAsia="ro-MD"/>
              </w:rPr>
              <w:t xml:space="preserve"> pentru bănci.</w:t>
            </w:r>
          </w:p>
          <w:p w14:paraId="4A2E2542" w14:textId="7C8A66D7" w:rsidR="00DE4097"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Atribuirea tranzacțiilor în seturile de acoperire a riscului în conformitate cu categoria de risc se efectuează în conformitate cu </w:t>
            </w:r>
            <w:r w:rsidR="00DE4097" w:rsidRPr="009F3ADA">
              <w:rPr>
                <w:rFonts w:ascii="Times New Roman" w:eastAsia="Times New Roman" w:hAnsi="Times New Roman" w:cs="Times New Roman"/>
                <w:sz w:val="24"/>
                <w:szCs w:val="24"/>
                <w:lang w:eastAsia="ro-MD"/>
              </w:rPr>
              <w:t xml:space="preserve">punctele </w:t>
            </w:r>
            <w:r w:rsidR="004279F0" w:rsidRPr="009F3ADA">
              <w:rPr>
                <w:rFonts w:ascii="Times New Roman" w:eastAsia="Times New Roman" w:hAnsi="Times New Roman" w:cs="Times New Roman"/>
                <w:sz w:val="24"/>
                <w:szCs w:val="24"/>
                <w:lang w:eastAsia="ro-MD"/>
              </w:rPr>
              <w:t>5</w:t>
            </w:r>
            <w:r w:rsidR="00693788" w:rsidRPr="009F3ADA">
              <w:rPr>
                <w:rFonts w:ascii="Times New Roman" w:eastAsia="Times New Roman" w:hAnsi="Times New Roman" w:cs="Times New Roman"/>
                <w:sz w:val="24"/>
                <w:szCs w:val="24"/>
                <w:lang w:eastAsia="ro-MD"/>
              </w:rPr>
              <w:t>9</w:t>
            </w:r>
            <w:r w:rsidR="00DE4097" w:rsidRPr="009F3ADA">
              <w:rPr>
                <w:rFonts w:ascii="Times New Roman" w:eastAsia="Times New Roman" w:hAnsi="Times New Roman" w:cs="Times New Roman"/>
                <w:sz w:val="24"/>
                <w:szCs w:val="24"/>
                <w:lang w:eastAsia="ro-MD"/>
              </w:rPr>
              <w:t>-</w:t>
            </w:r>
            <w:r w:rsidR="004279F0" w:rsidRPr="009F3ADA">
              <w:rPr>
                <w:rFonts w:ascii="Times New Roman" w:eastAsia="Times New Roman" w:hAnsi="Times New Roman" w:cs="Times New Roman"/>
                <w:sz w:val="24"/>
                <w:szCs w:val="24"/>
                <w:lang w:eastAsia="ro-MD"/>
              </w:rPr>
              <w:t>6</w:t>
            </w:r>
            <w:r w:rsidR="00693788" w:rsidRPr="009F3ADA">
              <w:rPr>
                <w:rFonts w:ascii="Times New Roman" w:eastAsia="Times New Roman" w:hAnsi="Times New Roman" w:cs="Times New Roman"/>
                <w:sz w:val="24"/>
                <w:szCs w:val="24"/>
                <w:lang w:eastAsia="ro-MD"/>
              </w:rPr>
              <w:t>5</w:t>
            </w:r>
            <w:r w:rsidR="00DE4097"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00DE4097" w:rsidRPr="009F3ADA">
              <w:rPr>
                <w:rFonts w:ascii="Times New Roman" w:eastAsia="Times New Roman" w:hAnsi="Times New Roman" w:cs="Times New Roman"/>
                <w:sz w:val="24"/>
                <w:szCs w:val="24"/>
                <w:lang w:eastAsia="ro-MD"/>
              </w:rPr>
              <w:t xml:space="preserve">cu privire la tratamentul riscului de credit al </w:t>
            </w:r>
            <w:proofErr w:type="spellStart"/>
            <w:r w:rsidR="00DE4097" w:rsidRPr="009F3ADA">
              <w:rPr>
                <w:rFonts w:ascii="Times New Roman" w:eastAsia="Times New Roman" w:hAnsi="Times New Roman" w:cs="Times New Roman"/>
                <w:sz w:val="24"/>
                <w:szCs w:val="24"/>
                <w:lang w:eastAsia="ro-MD"/>
              </w:rPr>
              <w:t>contrapărţii</w:t>
            </w:r>
            <w:proofErr w:type="spellEnd"/>
            <w:r w:rsidR="00DE4097" w:rsidRPr="009F3ADA">
              <w:rPr>
                <w:rFonts w:ascii="Times New Roman" w:eastAsia="Times New Roman" w:hAnsi="Times New Roman" w:cs="Times New Roman"/>
                <w:sz w:val="24"/>
                <w:szCs w:val="24"/>
                <w:lang w:eastAsia="ro-MD"/>
              </w:rPr>
              <w:t xml:space="preserve"> pentru bănci.</w:t>
            </w:r>
          </w:p>
          <w:p w14:paraId="4EEEEDA3" w14:textId="566DDAC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Pentru SA-CCR simplificată se aplică dispozițiile prevăzute la </w:t>
            </w:r>
            <w:r w:rsidR="00DE4097" w:rsidRPr="009F3ADA">
              <w:rPr>
                <w:rFonts w:ascii="Times New Roman" w:eastAsia="Times New Roman" w:hAnsi="Times New Roman" w:cs="Times New Roman"/>
                <w:sz w:val="24"/>
                <w:szCs w:val="24"/>
                <w:lang w:eastAsia="ro-MD"/>
              </w:rPr>
              <w:t xml:space="preserve">punctul </w:t>
            </w:r>
            <w:r w:rsidR="00693788" w:rsidRPr="009F3ADA">
              <w:rPr>
                <w:rFonts w:ascii="Times New Roman" w:eastAsia="Times New Roman" w:hAnsi="Times New Roman" w:cs="Times New Roman"/>
                <w:sz w:val="24"/>
                <w:szCs w:val="24"/>
                <w:lang w:eastAsia="ro-MD"/>
              </w:rPr>
              <w:t xml:space="preserve">100 </w:t>
            </w:r>
            <w:r w:rsidR="00DE4097" w:rsidRPr="009F3ADA">
              <w:rPr>
                <w:rFonts w:ascii="Times New Roman" w:eastAsia="Times New Roman" w:hAnsi="Times New Roman" w:cs="Times New Roman"/>
                <w:sz w:val="24"/>
                <w:szCs w:val="24"/>
                <w:lang w:eastAsia="ro-MD"/>
              </w:rPr>
              <w:t xml:space="preserve">din Regulamentul </w:t>
            </w:r>
            <w:r w:rsidR="00E972F3" w:rsidRPr="009F3ADA">
              <w:rPr>
                <w:rFonts w:ascii="Times New Roman" w:eastAsia="Times New Roman" w:hAnsi="Times New Roman" w:cs="Times New Roman"/>
                <w:sz w:val="24"/>
                <w:szCs w:val="24"/>
                <w:lang w:eastAsia="ro-MD"/>
              </w:rPr>
              <w:t xml:space="preserve">nr.220/2025 </w:t>
            </w:r>
            <w:r w:rsidR="00DE4097" w:rsidRPr="009F3ADA">
              <w:rPr>
                <w:rFonts w:ascii="Times New Roman" w:eastAsia="Times New Roman" w:hAnsi="Times New Roman" w:cs="Times New Roman"/>
                <w:sz w:val="24"/>
                <w:szCs w:val="24"/>
                <w:lang w:eastAsia="ro-MD"/>
              </w:rPr>
              <w:t xml:space="preserve">cu privire la tratamentul riscului de credit al </w:t>
            </w:r>
            <w:proofErr w:type="spellStart"/>
            <w:r w:rsidR="00DE4097" w:rsidRPr="009F3ADA">
              <w:rPr>
                <w:rFonts w:ascii="Times New Roman" w:eastAsia="Times New Roman" w:hAnsi="Times New Roman" w:cs="Times New Roman"/>
                <w:sz w:val="24"/>
                <w:szCs w:val="24"/>
                <w:lang w:eastAsia="ro-MD"/>
              </w:rPr>
              <w:t>contrapărţii</w:t>
            </w:r>
            <w:proofErr w:type="spellEnd"/>
            <w:r w:rsidR="00DE4097" w:rsidRPr="009F3ADA">
              <w:rPr>
                <w:rFonts w:ascii="Times New Roman" w:eastAsia="Times New Roman" w:hAnsi="Times New Roman" w:cs="Times New Roman"/>
                <w:sz w:val="24"/>
                <w:szCs w:val="24"/>
                <w:lang w:eastAsia="ro-MD"/>
              </w:rPr>
              <w:t xml:space="preserve"> pentru bănci.</w:t>
            </w:r>
          </w:p>
        </w:tc>
      </w:tr>
      <w:tr w:rsidR="006555C1" w:rsidRPr="009F3ADA" w14:paraId="70219D52" w14:textId="77777777" w:rsidTr="001E5BEB">
        <w:tc>
          <w:tcPr>
            <w:tcW w:w="0" w:type="auto"/>
            <w:hideMark/>
          </w:tcPr>
          <w:p w14:paraId="34DF664A"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0020-0040</w:t>
            </w:r>
          </w:p>
        </w:tc>
        <w:tc>
          <w:tcPr>
            <w:tcW w:w="0" w:type="auto"/>
            <w:hideMark/>
          </w:tcPr>
          <w:p w14:paraId="7963F308"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Din care – încadrate în mai multe categorii de risc</w:t>
            </w:r>
          </w:p>
          <w:p w14:paraId="1809625B" w14:textId="4500C426" w:rsidR="00DE4097" w:rsidRPr="009F3ADA" w:rsidRDefault="00DE4097"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w:t>
            </w:r>
            <w:r w:rsidR="00CF3DFF" w:rsidRPr="009F3ADA">
              <w:rPr>
                <w:rFonts w:ascii="Times New Roman" w:eastAsia="Times New Roman" w:hAnsi="Times New Roman" w:cs="Times New Roman"/>
                <w:sz w:val="24"/>
                <w:szCs w:val="24"/>
                <w:lang w:eastAsia="ro-MD"/>
              </w:rPr>
              <w:t>5</w:t>
            </w:r>
            <w:r w:rsidR="00CE4F3A" w:rsidRPr="009F3ADA">
              <w:rPr>
                <w:rFonts w:ascii="Times New Roman" w:eastAsia="Times New Roman" w:hAnsi="Times New Roman" w:cs="Times New Roman"/>
                <w:sz w:val="24"/>
                <w:szCs w:val="24"/>
                <w:lang w:eastAsia="ro-MD"/>
              </w:rPr>
              <w:t>7</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6E849A55" w14:textId="16045062"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cu instrumente financiare derivate cu mai mult de un determinant de risc semnificativ încadrat în două (0020), trei (0030) sau mai mult de trei (0040) categorii de risc pe baza celor mai semnificativi determinanți de risc din fiecare categorie de risc, în conformitate cu </w:t>
            </w:r>
            <w:r w:rsidR="00CF3DFF" w:rsidRPr="009F3ADA">
              <w:rPr>
                <w:rFonts w:ascii="Times New Roman" w:eastAsia="Times New Roman" w:hAnsi="Times New Roman" w:cs="Times New Roman"/>
                <w:sz w:val="24"/>
                <w:szCs w:val="24"/>
                <w:lang w:eastAsia="ro-MD"/>
              </w:rPr>
              <w:t>punctul 5</w:t>
            </w:r>
            <w:r w:rsidR="00CE4F3A" w:rsidRPr="009F3ADA">
              <w:rPr>
                <w:rFonts w:ascii="Times New Roman" w:eastAsia="Times New Roman" w:hAnsi="Times New Roman" w:cs="Times New Roman"/>
                <w:sz w:val="24"/>
                <w:szCs w:val="24"/>
                <w:lang w:eastAsia="ro-MD"/>
              </w:rPr>
              <w:t>7</w:t>
            </w:r>
            <w:r w:rsidR="00CF3DFF"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lastRenderedPageBreak/>
              <w:t xml:space="preserve">nr.220/2025 </w:t>
            </w:r>
            <w:r w:rsidR="00CF3DFF" w:rsidRPr="009F3ADA">
              <w:rPr>
                <w:rFonts w:ascii="Times New Roman" w:eastAsia="Times New Roman" w:hAnsi="Times New Roman" w:cs="Times New Roman"/>
                <w:sz w:val="24"/>
                <w:szCs w:val="24"/>
                <w:lang w:eastAsia="ro-MD"/>
              </w:rPr>
              <w:t xml:space="preserve">cu privire la tratamentul riscului de credit al </w:t>
            </w:r>
            <w:proofErr w:type="spellStart"/>
            <w:r w:rsidR="00CF3DFF" w:rsidRPr="009F3ADA">
              <w:rPr>
                <w:rFonts w:ascii="Times New Roman" w:eastAsia="Times New Roman" w:hAnsi="Times New Roman" w:cs="Times New Roman"/>
                <w:sz w:val="24"/>
                <w:szCs w:val="24"/>
                <w:lang w:eastAsia="ro-MD"/>
              </w:rPr>
              <w:t>contrapărţii</w:t>
            </w:r>
            <w:proofErr w:type="spellEnd"/>
            <w:r w:rsidR="00CF3DFF"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 xml:space="preserve"> </w:t>
            </w:r>
          </w:p>
        </w:tc>
      </w:tr>
      <w:tr w:rsidR="006555C1" w:rsidRPr="009F3ADA" w14:paraId="484685A3" w14:textId="77777777" w:rsidTr="001E5BEB">
        <w:tc>
          <w:tcPr>
            <w:tcW w:w="0" w:type="auto"/>
            <w:hideMark/>
          </w:tcPr>
          <w:p w14:paraId="549D491A"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0070-0110 și 0140-0180</w:t>
            </w:r>
          </w:p>
        </w:tc>
        <w:tc>
          <w:tcPr>
            <w:tcW w:w="0" w:type="auto"/>
            <w:hideMark/>
          </w:tcPr>
          <w:p w14:paraId="310A3D18" w14:textId="4BE95ECC"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Moneda și perechea valutară ce</w:t>
            </w:r>
            <w:r w:rsidR="00CF5FB7" w:rsidRPr="009F3ADA">
              <w:rPr>
                <w:rFonts w:ascii="Times New Roman" w:eastAsia="Times New Roman" w:hAnsi="Times New Roman" w:cs="Times New Roman"/>
                <w:sz w:val="24"/>
                <w:szCs w:val="24"/>
                <w:lang w:eastAsia="ro-MD"/>
              </w:rPr>
              <w:t>a</w:t>
            </w:r>
            <w:r w:rsidRPr="009F3ADA">
              <w:rPr>
                <w:rFonts w:ascii="Times New Roman" w:eastAsia="Times New Roman" w:hAnsi="Times New Roman" w:cs="Times New Roman"/>
                <w:sz w:val="24"/>
                <w:szCs w:val="24"/>
                <w:lang w:eastAsia="ro-MD"/>
              </w:rPr>
              <w:t xml:space="preserve"> mai important</w:t>
            </w:r>
            <w:r w:rsidR="00CF5FB7" w:rsidRPr="009F3ADA">
              <w:rPr>
                <w:rFonts w:ascii="Times New Roman" w:eastAsia="Times New Roman" w:hAnsi="Times New Roman" w:cs="Times New Roman"/>
                <w:sz w:val="24"/>
                <w:szCs w:val="24"/>
                <w:lang w:eastAsia="ro-MD"/>
              </w:rPr>
              <w:t>ă</w:t>
            </w:r>
          </w:p>
          <w:p w14:paraId="70D6829B" w14:textId="7473D22F"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Această clasificare se efectuează pe baza CMV a portofoliului </w:t>
            </w:r>
            <w:r w:rsidR="00CF5FB7" w:rsidRPr="009F3ADA">
              <w:rPr>
                <w:rFonts w:ascii="Times New Roman" w:eastAsia="Times New Roman" w:hAnsi="Times New Roman" w:cs="Times New Roman"/>
                <w:sz w:val="24"/>
                <w:szCs w:val="24"/>
                <w:lang w:eastAsia="ro-MD"/>
              </w:rPr>
              <w:t xml:space="preserve">băncii </w:t>
            </w:r>
            <w:r w:rsidRPr="009F3ADA">
              <w:rPr>
                <w:rFonts w:ascii="Times New Roman" w:eastAsia="Times New Roman" w:hAnsi="Times New Roman" w:cs="Times New Roman"/>
                <w:sz w:val="24"/>
                <w:szCs w:val="24"/>
                <w:lang w:eastAsia="ro-MD"/>
              </w:rPr>
              <w:t>care face obiectul abordării SA-CCR sau, după caz, al abordării SA-CCR simplificate pentru tranzacțiile încadrate în categoria riscului de rată a dobânzii și, respectiv, în categoria riscului de schimb valutar.</w:t>
            </w:r>
          </w:p>
          <w:p w14:paraId="705D59AF"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În scopul acestei clasificări, se adună valorile absolute ale CMV aferente pozițiilor.</w:t>
            </w:r>
          </w:p>
        </w:tc>
      </w:tr>
      <w:tr w:rsidR="006555C1" w:rsidRPr="009F3ADA" w14:paraId="709E59BD" w14:textId="77777777" w:rsidTr="001E5BEB">
        <w:tc>
          <w:tcPr>
            <w:tcW w:w="0" w:type="auto"/>
            <w:hideMark/>
          </w:tcPr>
          <w:p w14:paraId="548189D1"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0060,0130, 0200,0240, 0280</w:t>
            </w:r>
          </w:p>
        </w:tc>
        <w:tc>
          <w:tcPr>
            <w:tcW w:w="0" w:type="auto"/>
            <w:hideMark/>
          </w:tcPr>
          <w:p w14:paraId="0890FB55"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Încadrare exclusivă</w:t>
            </w:r>
          </w:p>
          <w:p w14:paraId="7EF1DE3A" w14:textId="20FDE99E" w:rsidR="00F955A1" w:rsidRPr="009F3ADA" w:rsidRDefault="00F955A1" w:rsidP="00F955A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Punctele </w:t>
            </w:r>
            <w:r w:rsidR="00CE4F3A" w:rsidRPr="009F3ADA">
              <w:rPr>
                <w:rFonts w:ascii="Times New Roman" w:eastAsia="Times New Roman" w:hAnsi="Times New Roman" w:cs="Times New Roman"/>
                <w:sz w:val="24"/>
                <w:szCs w:val="24"/>
                <w:lang w:eastAsia="ro-MD"/>
              </w:rPr>
              <w:t>55</w:t>
            </w:r>
            <w:r w:rsidR="0034346F" w:rsidRPr="009F3ADA">
              <w:rPr>
                <w:rFonts w:ascii="Times New Roman" w:eastAsia="Times New Roman" w:hAnsi="Times New Roman" w:cs="Times New Roman"/>
                <w:sz w:val="24"/>
                <w:szCs w:val="24"/>
                <w:lang w:eastAsia="ro-MD"/>
              </w:rPr>
              <w:t xml:space="preserve"> și</w:t>
            </w:r>
            <w:r w:rsidRPr="009F3ADA">
              <w:rPr>
                <w:rFonts w:ascii="Times New Roman" w:eastAsia="Times New Roman" w:hAnsi="Times New Roman" w:cs="Times New Roman"/>
                <w:sz w:val="24"/>
                <w:szCs w:val="24"/>
                <w:lang w:eastAsia="ro-MD"/>
              </w:rPr>
              <w:t xml:space="preserve"> </w:t>
            </w:r>
            <w:r w:rsidR="0034346F" w:rsidRPr="009F3ADA">
              <w:rPr>
                <w:rFonts w:ascii="Times New Roman" w:eastAsia="Times New Roman" w:hAnsi="Times New Roman" w:cs="Times New Roman"/>
                <w:sz w:val="24"/>
                <w:szCs w:val="24"/>
                <w:lang w:eastAsia="ro-MD"/>
              </w:rPr>
              <w:t>5</w:t>
            </w:r>
            <w:r w:rsidR="00CE4F3A" w:rsidRPr="009F3ADA">
              <w:rPr>
                <w:rFonts w:ascii="Times New Roman" w:eastAsia="Times New Roman" w:hAnsi="Times New Roman" w:cs="Times New Roman"/>
                <w:sz w:val="24"/>
                <w:szCs w:val="24"/>
                <w:lang w:eastAsia="ro-MD"/>
              </w:rPr>
              <w:t>6</w:t>
            </w:r>
            <w:r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p>
          <w:p w14:paraId="09F5CFFB" w14:textId="27B28981" w:rsidR="00F955A1" w:rsidRPr="009F3ADA" w:rsidRDefault="006555C1" w:rsidP="00442C28">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cu instrumente financiare derivate încadrate exclusiv într-o singură categorie de risc în conformitate cu </w:t>
            </w:r>
            <w:r w:rsidR="00F955A1" w:rsidRPr="009F3ADA">
              <w:rPr>
                <w:rFonts w:ascii="Times New Roman" w:eastAsia="Times New Roman" w:hAnsi="Times New Roman" w:cs="Times New Roman"/>
                <w:sz w:val="24"/>
                <w:szCs w:val="24"/>
                <w:lang w:eastAsia="ro-MD"/>
              </w:rPr>
              <w:t xml:space="preserve">punctele </w:t>
            </w:r>
            <w:r w:rsidR="0034346F" w:rsidRPr="009F3ADA">
              <w:rPr>
                <w:rFonts w:ascii="Times New Roman" w:eastAsia="Times New Roman" w:hAnsi="Times New Roman" w:cs="Times New Roman"/>
                <w:sz w:val="24"/>
                <w:szCs w:val="24"/>
                <w:lang w:eastAsia="ro-MD"/>
              </w:rPr>
              <w:t>5</w:t>
            </w:r>
            <w:r w:rsidR="00A569DE" w:rsidRPr="009F3ADA">
              <w:rPr>
                <w:rFonts w:ascii="Times New Roman" w:eastAsia="Times New Roman" w:hAnsi="Times New Roman" w:cs="Times New Roman"/>
                <w:sz w:val="24"/>
                <w:szCs w:val="24"/>
                <w:lang w:eastAsia="ro-MD"/>
              </w:rPr>
              <w:t>5</w:t>
            </w:r>
            <w:r w:rsidR="0034346F" w:rsidRPr="009F3ADA">
              <w:rPr>
                <w:rFonts w:ascii="Times New Roman" w:eastAsia="Times New Roman" w:hAnsi="Times New Roman" w:cs="Times New Roman"/>
                <w:sz w:val="24"/>
                <w:szCs w:val="24"/>
                <w:lang w:eastAsia="ro-MD"/>
              </w:rPr>
              <w:t xml:space="preserve"> și 5</w:t>
            </w:r>
            <w:r w:rsidR="00A569DE" w:rsidRPr="009F3ADA">
              <w:rPr>
                <w:rFonts w:ascii="Times New Roman" w:eastAsia="Times New Roman" w:hAnsi="Times New Roman" w:cs="Times New Roman"/>
                <w:sz w:val="24"/>
                <w:szCs w:val="24"/>
                <w:lang w:eastAsia="ro-MD"/>
              </w:rPr>
              <w:t>6</w:t>
            </w:r>
            <w:r w:rsidR="00F955A1"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00F955A1" w:rsidRPr="009F3ADA">
              <w:rPr>
                <w:rFonts w:ascii="Times New Roman" w:eastAsia="Times New Roman" w:hAnsi="Times New Roman" w:cs="Times New Roman"/>
                <w:sz w:val="24"/>
                <w:szCs w:val="24"/>
                <w:lang w:eastAsia="ro-MD"/>
              </w:rPr>
              <w:t xml:space="preserve">cu privire la tratamentul riscului de credit al </w:t>
            </w:r>
            <w:proofErr w:type="spellStart"/>
            <w:r w:rsidR="00F955A1" w:rsidRPr="009F3ADA">
              <w:rPr>
                <w:rFonts w:ascii="Times New Roman" w:eastAsia="Times New Roman" w:hAnsi="Times New Roman" w:cs="Times New Roman"/>
                <w:sz w:val="24"/>
                <w:szCs w:val="24"/>
                <w:lang w:eastAsia="ro-MD"/>
              </w:rPr>
              <w:t>contrapărţii</w:t>
            </w:r>
            <w:proofErr w:type="spellEnd"/>
            <w:r w:rsidR="00F955A1" w:rsidRPr="009F3ADA">
              <w:rPr>
                <w:rFonts w:ascii="Times New Roman" w:eastAsia="Times New Roman" w:hAnsi="Times New Roman" w:cs="Times New Roman"/>
                <w:sz w:val="24"/>
                <w:szCs w:val="24"/>
                <w:lang w:eastAsia="ro-MD"/>
              </w:rPr>
              <w:t xml:space="preserve"> pentru bănci.</w:t>
            </w:r>
          </w:p>
          <w:p w14:paraId="2FAF3C05" w14:textId="3FF5CCFF"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Sunt excluse tranzacțiile încadrate în categorii de risc diferite în conformitate cu </w:t>
            </w:r>
            <w:r w:rsidR="00F955A1" w:rsidRPr="009F3ADA">
              <w:rPr>
                <w:rFonts w:ascii="Times New Roman" w:eastAsia="Times New Roman" w:hAnsi="Times New Roman" w:cs="Times New Roman"/>
                <w:sz w:val="24"/>
                <w:szCs w:val="24"/>
                <w:lang w:eastAsia="ro-MD"/>
              </w:rPr>
              <w:t xml:space="preserve">punctul </w:t>
            </w:r>
            <w:r w:rsidR="0034346F" w:rsidRPr="009F3ADA">
              <w:rPr>
                <w:rFonts w:ascii="Times New Roman" w:eastAsia="Times New Roman" w:hAnsi="Times New Roman" w:cs="Times New Roman"/>
                <w:sz w:val="24"/>
                <w:szCs w:val="24"/>
                <w:lang w:eastAsia="ro-MD"/>
              </w:rPr>
              <w:t>5</w:t>
            </w:r>
            <w:r w:rsidR="00A569DE" w:rsidRPr="009F3ADA">
              <w:rPr>
                <w:rFonts w:ascii="Times New Roman" w:eastAsia="Times New Roman" w:hAnsi="Times New Roman" w:cs="Times New Roman"/>
                <w:sz w:val="24"/>
                <w:szCs w:val="24"/>
                <w:lang w:eastAsia="ro-MD"/>
              </w:rPr>
              <w:t>7</w:t>
            </w:r>
            <w:r w:rsidR="00F955A1" w:rsidRPr="009F3ADA">
              <w:rPr>
                <w:rFonts w:ascii="Times New Roman" w:eastAsia="Times New Roman" w:hAnsi="Times New Roman" w:cs="Times New Roman"/>
                <w:sz w:val="24"/>
                <w:szCs w:val="24"/>
                <w:lang w:eastAsia="ro-MD"/>
              </w:rPr>
              <w:t xml:space="preserve"> din Regulamentul </w:t>
            </w:r>
            <w:r w:rsidR="00E972F3" w:rsidRPr="009F3ADA">
              <w:rPr>
                <w:rFonts w:ascii="Times New Roman" w:eastAsia="Times New Roman" w:hAnsi="Times New Roman" w:cs="Times New Roman"/>
                <w:sz w:val="24"/>
                <w:szCs w:val="24"/>
                <w:lang w:eastAsia="ro-MD"/>
              </w:rPr>
              <w:t xml:space="preserve">nr.220/2025 </w:t>
            </w:r>
            <w:r w:rsidR="00F955A1" w:rsidRPr="009F3ADA">
              <w:rPr>
                <w:rFonts w:ascii="Times New Roman" w:eastAsia="Times New Roman" w:hAnsi="Times New Roman" w:cs="Times New Roman"/>
                <w:sz w:val="24"/>
                <w:szCs w:val="24"/>
                <w:lang w:eastAsia="ro-MD"/>
              </w:rPr>
              <w:t xml:space="preserve">cu privire la tratamentul riscului de credit al </w:t>
            </w:r>
            <w:proofErr w:type="spellStart"/>
            <w:r w:rsidR="00F955A1" w:rsidRPr="009F3ADA">
              <w:rPr>
                <w:rFonts w:ascii="Times New Roman" w:eastAsia="Times New Roman" w:hAnsi="Times New Roman" w:cs="Times New Roman"/>
                <w:sz w:val="24"/>
                <w:szCs w:val="24"/>
                <w:lang w:eastAsia="ro-MD"/>
              </w:rPr>
              <w:t>contrapărţii</w:t>
            </w:r>
            <w:proofErr w:type="spellEnd"/>
            <w:r w:rsidR="00F955A1" w:rsidRPr="009F3ADA">
              <w:rPr>
                <w:rFonts w:ascii="Times New Roman" w:eastAsia="Times New Roman" w:hAnsi="Times New Roman" w:cs="Times New Roman"/>
                <w:sz w:val="24"/>
                <w:szCs w:val="24"/>
                <w:lang w:eastAsia="ro-MD"/>
              </w:rPr>
              <w:t xml:space="preserve"> pentru bănci.</w:t>
            </w:r>
          </w:p>
        </w:tc>
      </w:tr>
      <w:tr w:rsidR="006555C1" w:rsidRPr="009F3ADA" w14:paraId="65EC8B13" w14:textId="77777777" w:rsidTr="001E5BEB">
        <w:tc>
          <w:tcPr>
            <w:tcW w:w="0" w:type="auto"/>
            <w:hideMark/>
          </w:tcPr>
          <w:p w14:paraId="05E5A445"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0210, 0250</w:t>
            </w:r>
          </w:p>
        </w:tc>
        <w:tc>
          <w:tcPr>
            <w:tcW w:w="0" w:type="auto"/>
            <w:hideMark/>
          </w:tcPr>
          <w:p w14:paraId="55DBA13D"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Tranzacții având la bază o singură semnătură</w:t>
            </w:r>
          </w:p>
          <w:p w14:paraId="65C58783"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Tranzacțiile având la bază o singură semnătură care sunt încadrate în categoria riscului de credit și, respectiv, în categoria riscului de devalorizare a titlurilor de capital.</w:t>
            </w:r>
          </w:p>
        </w:tc>
      </w:tr>
      <w:tr w:rsidR="006555C1" w:rsidRPr="009F3ADA" w14:paraId="70387961" w14:textId="77777777" w:rsidTr="001E5BEB">
        <w:tc>
          <w:tcPr>
            <w:tcW w:w="0" w:type="auto"/>
            <w:hideMark/>
          </w:tcPr>
          <w:p w14:paraId="3EA0339D"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0220, 0260</w:t>
            </w:r>
          </w:p>
        </w:tc>
        <w:tc>
          <w:tcPr>
            <w:tcW w:w="0" w:type="auto"/>
            <w:hideMark/>
          </w:tcPr>
          <w:p w14:paraId="22E8F477"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Tranzacții având la bază mai multe semnături</w:t>
            </w:r>
          </w:p>
          <w:p w14:paraId="5DF73852"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Tranzacțiile având la bază mai multe semnături care sunt încadrate în categoria riscului de credit și, respectiv, în categoria riscului de devalorizare a titlurilor de capital.</w:t>
            </w:r>
          </w:p>
        </w:tc>
      </w:tr>
      <w:tr w:rsidR="006555C1" w:rsidRPr="009F3ADA" w14:paraId="0DF5C713" w14:textId="77777777" w:rsidTr="001E5BEB">
        <w:tc>
          <w:tcPr>
            <w:tcW w:w="0" w:type="auto"/>
            <w:hideMark/>
          </w:tcPr>
          <w:p w14:paraId="4195650A"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0290-0330</w:t>
            </w:r>
          </w:p>
        </w:tc>
        <w:tc>
          <w:tcPr>
            <w:tcW w:w="0" w:type="auto"/>
            <w:hideMark/>
          </w:tcPr>
          <w:p w14:paraId="1B521291" w14:textId="7777777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Seturi de acoperire a riscului pentru categoria riscului de marfă</w:t>
            </w:r>
          </w:p>
          <w:p w14:paraId="369F07AA" w14:textId="5CAE6227" w:rsidR="006555C1" w:rsidRPr="009F3ADA" w:rsidRDefault="006555C1" w:rsidP="006555C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Tranzacțiile cu instrumente financiare derivate care sunt atribuite seturilor de acoperire a riscului pentru categoria riscului de marfă, astfel cum sunt enumerate la</w:t>
            </w:r>
            <w:r w:rsidR="0034346F" w:rsidRPr="009F3ADA">
              <w:rPr>
                <w:rFonts w:ascii="Times New Roman" w:eastAsia="Times New Roman" w:hAnsi="Times New Roman" w:cs="Times New Roman"/>
                <w:sz w:val="24"/>
                <w:szCs w:val="24"/>
                <w:lang w:eastAsia="ro-MD"/>
              </w:rPr>
              <w:t xml:space="preserve"> punctul 5</w:t>
            </w:r>
            <w:r w:rsidR="000C0AD7" w:rsidRPr="009F3ADA">
              <w:rPr>
                <w:rFonts w:ascii="Times New Roman" w:eastAsia="Times New Roman" w:hAnsi="Times New Roman" w:cs="Times New Roman"/>
                <w:sz w:val="24"/>
                <w:szCs w:val="24"/>
                <w:lang w:eastAsia="ro-MD"/>
              </w:rPr>
              <w:t>9</w:t>
            </w:r>
            <w:r w:rsidRPr="009F3ADA">
              <w:rPr>
                <w:rFonts w:ascii="Times New Roman" w:eastAsia="Times New Roman" w:hAnsi="Times New Roman" w:cs="Times New Roman"/>
                <w:sz w:val="24"/>
                <w:szCs w:val="24"/>
                <w:lang w:eastAsia="ro-MD"/>
              </w:rPr>
              <w:t xml:space="preserve"> </w:t>
            </w:r>
            <w:r w:rsidR="00991D17" w:rsidRPr="009F3ADA">
              <w:rPr>
                <w:rFonts w:ascii="Times New Roman" w:eastAsia="Times New Roman" w:hAnsi="Times New Roman" w:cs="Times New Roman"/>
                <w:sz w:val="24"/>
                <w:szCs w:val="24"/>
                <w:lang w:eastAsia="ro-MD"/>
              </w:rPr>
              <w:t xml:space="preserve">subpunctul </w:t>
            </w:r>
            <w:r w:rsidR="0034346F" w:rsidRPr="009F3ADA">
              <w:rPr>
                <w:rFonts w:ascii="Times New Roman" w:eastAsia="Times New Roman" w:hAnsi="Times New Roman" w:cs="Times New Roman"/>
                <w:sz w:val="24"/>
                <w:szCs w:val="24"/>
                <w:lang w:eastAsia="ro-MD"/>
              </w:rPr>
              <w:t>5</w:t>
            </w:r>
            <w:r w:rsidR="000C0AD7" w:rsidRPr="009F3ADA">
              <w:rPr>
                <w:rFonts w:ascii="Times New Roman" w:eastAsia="Times New Roman" w:hAnsi="Times New Roman" w:cs="Times New Roman"/>
                <w:sz w:val="24"/>
                <w:szCs w:val="24"/>
                <w:lang w:eastAsia="ro-MD"/>
              </w:rPr>
              <w:t>9</w:t>
            </w:r>
            <w:r w:rsidR="00991D17" w:rsidRPr="009F3ADA">
              <w:rPr>
                <w:rFonts w:ascii="Times New Roman" w:eastAsia="Times New Roman" w:hAnsi="Times New Roman" w:cs="Times New Roman"/>
                <w:sz w:val="24"/>
                <w:szCs w:val="24"/>
                <w:lang w:eastAsia="ro-MD"/>
              </w:rPr>
              <w:t>.5</w:t>
            </w:r>
            <w:r w:rsidR="0034346F" w:rsidRPr="009F3ADA">
              <w:rPr>
                <w:rFonts w:ascii="Times New Roman" w:eastAsia="Times New Roman" w:hAnsi="Times New Roman" w:cs="Times New Roman"/>
                <w:sz w:val="24"/>
                <w:szCs w:val="24"/>
                <w:lang w:eastAsia="ro-MD"/>
              </w:rPr>
              <w:t>.</w:t>
            </w:r>
            <w:r w:rsidR="00991D17" w:rsidRPr="009F3ADA">
              <w:rPr>
                <w:rFonts w:ascii="Times New Roman" w:eastAsia="Times New Roman" w:hAnsi="Times New Roman" w:cs="Times New Roman"/>
                <w:sz w:val="24"/>
                <w:szCs w:val="24"/>
                <w:lang w:eastAsia="ro-MD"/>
              </w:rPr>
              <w:t xml:space="preserve"> din Regulamentul </w:t>
            </w:r>
            <w:r w:rsidR="00ED3A84" w:rsidRPr="009F3ADA">
              <w:rPr>
                <w:rFonts w:ascii="Times New Roman" w:eastAsia="Times New Roman" w:hAnsi="Times New Roman" w:cs="Times New Roman"/>
                <w:sz w:val="24"/>
                <w:szCs w:val="24"/>
                <w:lang w:eastAsia="ro-MD"/>
              </w:rPr>
              <w:t xml:space="preserve">nr.220/2025 </w:t>
            </w:r>
            <w:r w:rsidR="00991D17" w:rsidRPr="009F3ADA">
              <w:rPr>
                <w:rFonts w:ascii="Times New Roman" w:eastAsia="Times New Roman" w:hAnsi="Times New Roman" w:cs="Times New Roman"/>
                <w:sz w:val="24"/>
                <w:szCs w:val="24"/>
                <w:lang w:eastAsia="ro-MD"/>
              </w:rPr>
              <w:t xml:space="preserve">cu privire la tratamentul riscului de credit al </w:t>
            </w:r>
            <w:proofErr w:type="spellStart"/>
            <w:r w:rsidR="00991D17" w:rsidRPr="009F3ADA">
              <w:rPr>
                <w:rFonts w:ascii="Times New Roman" w:eastAsia="Times New Roman" w:hAnsi="Times New Roman" w:cs="Times New Roman"/>
                <w:sz w:val="24"/>
                <w:szCs w:val="24"/>
                <w:lang w:eastAsia="ro-MD"/>
              </w:rPr>
              <w:t>contrapărţii</w:t>
            </w:r>
            <w:proofErr w:type="spellEnd"/>
            <w:r w:rsidR="00991D17" w:rsidRPr="009F3ADA">
              <w:rPr>
                <w:rFonts w:ascii="Times New Roman" w:eastAsia="Times New Roman" w:hAnsi="Times New Roman" w:cs="Times New Roman"/>
                <w:sz w:val="24"/>
                <w:szCs w:val="24"/>
                <w:lang w:eastAsia="ro-MD"/>
              </w:rPr>
              <w:t xml:space="preserve"> pentru bănci.</w:t>
            </w:r>
          </w:p>
        </w:tc>
      </w:tr>
    </w:tbl>
    <w:p w14:paraId="6BB0F0F3" w14:textId="3F19EBFB" w:rsidR="006555C1" w:rsidRPr="009F3ADA" w:rsidRDefault="006555C1" w:rsidP="006555C1">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D59C064" w14:textId="29D1A950" w:rsidR="00556102" w:rsidRPr="009F3ADA" w:rsidRDefault="006555C1">
      <w:pPr>
        <w:rPr>
          <w:rFonts w:ascii="Times New Roman" w:eastAsia="Times New Roman" w:hAnsi="Times New Roman" w:cs="Times New Roman"/>
          <w:color w:val="000000"/>
          <w:sz w:val="27"/>
          <w:szCs w:val="27"/>
          <w:lang w:eastAsia="ro-MD"/>
        </w:rPr>
        <w:sectPr w:rsidR="00556102" w:rsidRPr="009F3ADA" w:rsidSect="006555C1">
          <w:pgSz w:w="11906" w:h="16838" w:code="9"/>
          <w:pgMar w:top="1134" w:right="851" w:bottom="1134" w:left="1701" w:header="709" w:footer="709" w:gutter="0"/>
          <w:cols w:space="708"/>
          <w:docGrid w:linePitch="360"/>
        </w:sectPr>
      </w:pPr>
      <w:r w:rsidRPr="009F3ADA">
        <w:rPr>
          <w:rFonts w:ascii="Times New Roman" w:eastAsia="Times New Roman" w:hAnsi="Times New Roman" w:cs="Times New Roman"/>
          <w:color w:val="000000"/>
          <w:sz w:val="27"/>
          <w:szCs w:val="27"/>
          <w:lang w:eastAsia="ro-MD"/>
        </w:rPr>
        <w:br w:type="page"/>
      </w:r>
    </w:p>
    <w:p w14:paraId="738A19A9" w14:textId="0A74111D" w:rsidR="001E2A95" w:rsidRPr="009F3ADA" w:rsidRDefault="00FE43B4"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lastRenderedPageBreak/>
        <w:t>Formularul</w:t>
      </w:r>
      <w:r w:rsidR="001E2A95" w:rsidRPr="009F3ADA">
        <w:rPr>
          <w:rFonts w:ascii="Times New Roman" w:eastAsia="Times New Roman" w:hAnsi="Times New Roman" w:cs="Times New Roman"/>
          <w:b/>
          <w:bCs/>
          <w:color w:val="000000"/>
          <w:sz w:val="27"/>
          <w:szCs w:val="27"/>
          <w:lang w:eastAsia="ro-MD"/>
        </w:rPr>
        <w:t xml:space="preserve"> raportului</w:t>
      </w:r>
    </w:p>
    <w:p w14:paraId="0FB7A032" w14:textId="77DB4E52" w:rsidR="001102FE" w:rsidRPr="009F3ADA" w:rsidRDefault="001102FE"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34.04 RISCUL DE CREDIT AL CONTRAPĂRȚII: </w:t>
      </w:r>
      <w:bookmarkStart w:id="17" w:name="_Hlk190356538"/>
      <w:r w:rsidRPr="009F3ADA">
        <w:rPr>
          <w:rFonts w:ascii="Times New Roman" w:eastAsia="Times New Roman" w:hAnsi="Times New Roman" w:cs="Times New Roman"/>
          <w:b/>
          <w:bCs/>
          <w:color w:val="000000"/>
          <w:sz w:val="27"/>
          <w:szCs w:val="27"/>
          <w:lang w:eastAsia="ro-MD"/>
        </w:rPr>
        <w:t xml:space="preserve">EXPUNERI LA </w:t>
      </w:r>
      <w:r w:rsidR="003E5ED0" w:rsidRPr="009F3ADA">
        <w:rPr>
          <w:rFonts w:ascii="Times New Roman" w:eastAsia="Times New Roman" w:hAnsi="Times New Roman" w:cs="Times New Roman"/>
          <w:b/>
          <w:bCs/>
          <w:color w:val="000000"/>
          <w:sz w:val="27"/>
          <w:szCs w:val="27"/>
          <w:lang w:eastAsia="ro-MD"/>
        </w:rPr>
        <w:t>CCR</w:t>
      </w:r>
      <w:r w:rsidRPr="009F3ADA">
        <w:rPr>
          <w:rFonts w:ascii="Times New Roman" w:eastAsia="Times New Roman" w:hAnsi="Times New Roman" w:cs="Times New Roman"/>
          <w:b/>
          <w:bCs/>
          <w:color w:val="000000"/>
          <w:sz w:val="27"/>
          <w:szCs w:val="27"/>
          <w:lang w:eastAsia="ro-MD"/>
        </w:rPr>
        <w:t xml:space="preserve"> </w:t>
      </w:r>
      <w:r w:rsidR="003E5ED0" w:rsidRPr="009F3ADA">
        <w:rPr>
          <w:rFonts w:ascii="Times New Roman" w:eastAsia="Times New Roman" w:hAnsi="Times New Roman" w:cs="Times New Roman"/>
          <w:b/>
          <w:bCs/>
          <w:color w:val="000000"/>
          <w:sz w:val="27"/>
          <w:szCs w:val="27"/>
          <w:lang w:eastAsia="ro-MD"/>
        </w:rPr>
        <w:t xml:space="preserve">CU </w:t>
      </w:r>
      <w:r w:rsidRPr="009F3ADA">
        <w:rPr>
          <w:rFonts w:ascii="Times New Roman" w:eastAsia="Times New Roman" w:hAnsi="Times New Roman" w:cs="Times New Roman"/>
          <w:b/>
          <w:bCs/>
          <w:color w:val="000000"/>
          <w:sz w:val="27"/>
          <w:szCs w:val="27"/>
          <w:lang w:eastAsia="ro-MD"/>
        </w:rPr>
        <w:t>METOD</w:t>
      </w:r>
      <w:r w:rsidR="003E5ED0" w:rsidRPr="009F3ADA">
        <w:rPr>
          <w:rFonts w:ascii="Times New Roman" w:eastAsia="Times New Roman" w:hAnsi="Times New Roman" w:cs="Times New Roman"/>
          <w:b/>
          <w:bCs/>
          <w:color w:val="000000"/>
          <w:sz w:val="27"/>
          <w:szCs w:val="27"/>
          <w:lang w:eastAsia="ro-MD"/>
        </w:rPr>
        <w:t>A</w:t>
      </w:r>
      <w:r w:rsidRPr="009F3ADA">
        <w:rPr>
          <w:rFonts w:ascii="Times New Roman" w:eastAsia="Times New Roman" w:hAnsi="Times New Roman" w:cs="Times New Roman"/>
          <w:b/>
          <w:bCs/>
          <w:color w:val="000000"/>
          <w:sz w:val="27"/>
          <w:szCs w:val="27"/>
          <w:lang w:eastAsia="ro-MD"/>
        </w:rPr>
        <w:t xml:space="preserve"> EXPUNERII INIȚIALE (OEM) (CCR 4)</w:t>
      </w:r>
      <w:bookmarkEnd w:id="17"/>
    </w:p>
    <w:tbl>
      <w:tblPr>
        <w:tblStyle w:val="TableGrid"/>
        <w:tblW w:w="14584" w:type="dxa"/>
        <w:tblLook w:val="04A0" w:firstRow="1" w:lastRow="0" w:firstColumn="1" w:lastColumn="0" w:noHBand="0" w:noVBand="1"/>
      </w:tblPr>
      <w:tblGrid>
        <w:gridCol w:w="577"/>
        <w:gridCol w:w="2496"/>
        <w:gridCol w:w="1880"/>
        <w:gridCol w:w="1950"/>
        <w:gridCol w:w="2595"/>
        <w:gridCol w:w="2622"/>
        <w:gridCol w:w="2464"/>
      </w:tblGrid>
      <w:tr w:rsidR="00556102" w:rsidRPr="009F3ADA" w14:paraId="63DF6791" w14:textId="77777777" w:rsidTr="003E5ED0">
        <w:trPr>
          <w:trHeight w:val="641"/>
        </w:trPr>
        <w:tc>
          <w:tcPr>
            <w:tcW w:w="0" w:type="auto"/>
            <w:gridSpan w:val="2"/>
            <w:vMerge w:val="restart"/>
            <w:hideMark/>
          </w:tcPr>
          <w:p w14:paraId="1289643A" w14:textId="77777777" w:rsidR="001102FE" w:rsidRPr="009F3ADA" w:rsidRDefault="001102FE" w:rsidP="00556102">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CATEGORIILE DE RISC</w:t>
            </w:r>
          </w:p>
        </w:tc>
        <w:tc>
          <w:tcPr>
            <w:tcW w:w="0" w:type="auto"/>
            <w:hideMark/>
          </w:tcPr>
          <w:p w14:paraId="3BD6B22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NUMĂRUL DE TRANZACȚII</w:t>
            </w:r>
          </w:p>
        </w:tc>
        <w:tc>
          <w:tcPr>
            <w:tcW w:w="0" w:type="auto"/>
            <w:hideMark/>
          </w:tcPr>
          <w:p w14:paraId="367E4F8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CUANTUMURI NOȚIONALE</w:t>
            </w:r>
          </w:p>
        </w:tc>
        <w:tc>
          <w:tcPr>
            <w:tcW w:w="0" w:type="auto"/>
            <w:hideMark/>
          </w:tcPr>
          <w:p w14:paraId="26BDA61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VALOAREA DE PIAȚĂ CURENTĂ (CMV), POZITIVĂ</w:t>
            </w:r>
          </w:p>
        </w:tc>
        <w:tc>
          <w:tcPr>
            <w:tcW w:w="0" w:type="auto"/>
            <w:hideMark/>
          </w:tcPr>
          <w:p w14:paraId="5499951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VALOAREA DE PIAȚĂ CURENTĂ (CMV), NEGATIVĂ</w:t>
            </w:r>
          </w:p>
        </w:tc>
        <w:tc>
          <w:tcPr>
            <w:tcW w:w="0" w:type="auto"/>
            <w:hideMark/>
          </w:tcPr>
          <w:p w14:paraId="22F9CAA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EXPUNEREA VIITOARE POTENȚIALĂ (PFE)</w:t>
            </w:r>
          </w:p>
        </w:tc>
      </w:tr>
      <w:tr w:rsidR="00556102" w:rsidRPr="009F3ADA" w14:paraId="11EFFEC4" w14:textId="77777777" w:rsidTr="001E5BEB">
        <w:trPr>
          <w:trHeight w:val="131"/>
        </w:trPr>
        <w:tc>
          <w:tcPr>
            <w:tcW w:w="0" w:type="auto"/>
            <w:gridSpan w:val="2"/>
            <w:vMerge/>
            <w:hideMark/>
          </w:tcPr>
          <w:p w14:paraId="0C9500CB" w14:textId="77777777" w:rsidR="001102FE" w:rsidRPr="009F3ADA" w:rsidRDefault="001102FE" w:rsidP="001102FE">
            <w:pPr>
              <w:rPr>
                <w:rFonts w:ascii="Times New Roman" w:eastAsia="Times New Roman" w:hAnsi="Times New Roman" w:cs="Times New Roman"/>
                <w:b/>
                <w:bCs/>
                <w:sz w:val="18"/>
                <w:szCs w:val="18"/>
                <w:lang w:eastAsia="ro-MD"/>
              </w:rPr>
            </w:pPr>
          </w:p>
        </w:tc>
        <w:tc>
          <w:tcPr>
            <w:tcW w:w="0" w:type="auto"/>
            <w:hideMark/>
          </w:tcPr>
          <w:p w14:paraId="4B4C1A6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0010</w:t>
            </w:r>
          </w:p>
        </w:tc>
        <w:tc>
          <w:tcPr>
            <w:tcW w:w="0" w:type="auto"/>
            <w:hideMark/>
          </w:tcPr>
          <w:p w14:paraId="419EA7A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0020</w:t>
            </w:r>
          </w:p>
        </w:tc>
        <w:tc>
          <w:tcPr>
            <w:tcW w:w="0" w:type="auto"/>
            <w:hideMark/>
          </w:tcPr>
          <w:p w14:paraId="7E92AC9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0030</w:t>
            </w:r>
          </w:p>
        </w:tc>
        <w:tc>
          <w:tcPr>
            <w:tcW w:w="0" w:type="auto"/>
            <w:hideMark/>
          </w:tcPr>
          <w:p w14:paraId="5BF552B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0040</w:t>
            </w:r>
          </w:p>
        </w:tc>
        <w:tc>
          <w:tcPr>
            <w:tcW w:w="0" w:type="auto"/>
            <w:hideMark/>
          </w:tcPr>
          <w:p w14:paraId="6D73E39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0050</w:t>
            </w:r>
          </w:p>
        </w:tc>
      </w:tr>
      <w:tr w:rsidR="00556102" w:rsidRPr="009F3ADA" w14:paraId="41FC9ABD" w14:textId="77777777" w:rsidTr="001E5BEB">
        <w:trPr>
          <w:trHeight w:val="259"/>
        </w:trPr>
        <w:tc>
          <w:tcPr>
            <w:tcW w:w="0" w:type="auto"/>
            <w:hideMark/>
          </w:tcPr>
          <w:p w14:paraId="3F0D5B1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0010</w:t>
            </w:r>
          </w:p>
        </w:tc>
        <w:tc>
          <w:tcPr>
            <w:tcW w:w="0" w:type="auto"/>
            <w:hideMark/>
          </w:tcPr>
          <w:p w14:paraId="7E6BD8B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TOTAL</w:t>
            </w:r>
          </w:p>
        </w:tc>
        <w:tc>
          <w:tcPr>
            <w:tcW w:w="0" w:type="auto"/>
            <w:hideMark/>
          </w:tcPr>
          <w:p w14:paraId="0A66DFF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7ABED9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9C5826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9299CF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C78666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165FF5E2" w14:textId="77777777" w:rsidTr="001E5BEB">
        <w:trPr>
          <w:trHeight w:val="442"/>
        </w:trPr>
        <w:tc>
          <w:tcPr>
            <w:tcW w:w="0" w:type="auto"/>
            <w:hideMark/>
          </w:tcPr>
          <w:p w14:paraId="12C9160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0020</w:t>
            </w:r>
          </w:p>
        </w:tc>
        <w:tc>
          <w:tcPr>
            <w:tcW w:w="0" w:type="auto"/>
            <w:hideMark/>
          </w:tcPr>
          <w:p w14:paraId="475F14C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RATĂ A DOBÂNZII</w:t>
            </w:r>
          </w:p>
        </w:tc>
        <w:tc>
          <w:tcPr>
            <w:tcW w:w="0" w:type="auto"/>
            <w:hideMark/>
          </w:tcPr>
          <w:p w14:paraId="25AD41B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2BF6D3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4CCA48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9CFA91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E96484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7AD5E070" w14:textId="77777777" w:rsidTr="001E5BEB">
        <w:trPr>
          <w:trHeight w:val="337"/>
        </w:trPr>
        <w:tc>
          <w:tcPr>
            <w:tcW w:w="0" w:type="auto"/>
            <w:hideMark/>
          </w:tcPr>
          <w:p w14:paraId="7A689F2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0030</w:t>
            </w:r>
          </w:p>
        </w:tc>
        <w:tc>
          <w:tcPr>
            <w:tcW w:w="0" w:type="auto"/>
            <w:hideMark/>
          </w:tcPr>
          <w:p w14:paraId="1AAEF3B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VALUTAR</w:t>
            </w:r>
          </w:p>
        </w:tc>
        <w:tc>
          <w:tcPr>
            <w:tcW w:w="0" w:type="auto"/>
            <w:hideMark/>
          </w:tcPr>
          <w:p w14:paraId="44C864D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6D21A4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547AF4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1CE0B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0E5616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0E170030" w14:textId="77777777" w:rsidTr="001E5BEB">
        <w:trPr>
          <w:trHeight w:val="329"/>
        </w:trPr>
        <w:tc>
          <w:tcPr>
            <w:tcW w:w="0" w:type="auto"/>
            <w:hideMark/>
          </w:tcPr>
          <w:p w14:paraId="7A1021D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0040</w:t>
            </w:r>
          </w:p>
        </w:tc>
        <w:tc>
          <w:tcPr>
            <w:tcW w:w="0" w:type="auto"/>
            <w:hideMark/>
          </w:tcPr>
          <w:p w14:paraId="57EF5C4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CREDIT</w:t>
            </w:r>
          </w:p>
        </w:tc>
        <w:tc>
          <w:tcPr>
            <w:tcW w:w="0" w:type="auto"/>
            <w:hideMark/>
          </w:tcPr>
          <w:p w14:paraId="14B3A63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AFBB1E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4E5517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C73654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20111D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3912BACB" w14:textId="77777777" w:rsidTr="001E5BEB">
        <w:trPr>
          <w:trHeight w:val="476"/>
        </w:trPr>
        <w:tc>
          <w:tcPr>
            <w:tcW w:w="0" w:type="auto"/>
            <w:hideMark/>
          </w:tcPr>
          <w:p w14:paraId="236EEE0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0050</w:t>
            </w:r>
          </w:p>
        </w:tc>
        <w:tc>
          <w:tcPr>
            <w:tcW w:w="0" w:type="auto"/>
            <w:hideMark/>
          </w:tcPr>
          <w:p w14:paraId="71AF66E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DEVALORIZARE A ACȚIUNILOR</w:t>
            </w:r>
          </w:p>
        </w:tc>
        <w:tc>
          <w:tcPr>
            <w:tcW w:w="0" w:type="auto"/>
            <w:hideMark/>
          </w:tcPr>
          <w:p w14:paraId="710B814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16ABCF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6E0DAB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B32E5F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ADD00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3E31DF5E" w14:textId="77777777" w:rsidTr="001E5BEB">
        <w:trPr>
          <w:trHeight w:val="342"/>
        </w:trPr>
        <w:tc>
          <w:tcPr>
            <w:tcW w:w="0" w:type="auto"/>
            <w:hideMark/>
          </w:tcPr>
          <w:p w14:paraId="1E94C93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0060</w:t>
            </w:r>
          </w:p>
        </w:tc>
        <w:tc>
          <w:tcPr>
            <w:tcW w:w="0" w:type="auto"/>
            <w:hideMark/>
          </w:tcPr>
          <w:p w14:paraId="4CF77FF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RISCUL DE MARFĂ</w:t>
            </w:r>
          </w:p>
        </w:tc>
        <w:tc>
          <w:tcPr>
            <w:tcW w:w="0" w:type="auto"/>
            <w:hideMark/>
          </w:tcPr>
          <w:p w14:paraId="4DF624A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6E87A9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FB4235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CBB84E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0E6B81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556102" w:rsidRPr="009F3ADA" w14:paraId="6C9AB995" w14:textId="77777777" w:rsidTr="001E5BEB">
        <w:trPr>
          <w:trHeight w:val="334"/>
        </w:trPr>
        <w:tc>
          <w:tcPr>
            <w:tcW w:w="0" w:type="auto"/>
            <w:hideMark/>
          </w:tcPr>
          <w:p w14:paraId="1A52E0C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0070</w:t>
            </w:r>
          </w:p>
        </w:tc>
        <w:tc>
          <w:tcPr>
            <w:tcW w:w="0" w:type="auto"/>
            <w:hideMark/>
          </w:tcPr>
          <w:p w14:paraId="7886250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din care: energia electrică</w:t>
            </w:r>
          </w:p>
        </w:tc>
        <w:tc>
          <w:tcPr>
            <w:tcW w:w="0" w:type="auto"/>
            <w:hideMark/>
          </w:tcPr>
          <w:p w14:paraId="4D469B1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8B8816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949CB5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F0A06B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EB18DD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bl>
    <w:p w14:paraId="06CE727B"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1A9605B" w14:textId="77777777" w:rsidR="00556102" w:rsidRPr="009F3ADA" w:rsidRDefault="00556102" w:rsidP="00556102">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556102" w:rsidRPr="009F3ADA" w:rsidSect="00556102">
          <w:pgSz w:w="16838" w:h="11906" w:orient="landscape" w:code="9"/>
          <w:pgMar w:top="1701" w:right="1134" w:bottom="851" w:left="1134" w:header="709" w:footer="709" w:gutter="0"/>
          <w:cols w:space="708"/>
          <w:docGrid w:linePitch="360"/>
        </w:sectPr>
      </w:pPr>
    </w:p>
    <w:p w14:paraId="6FC57096" w14:textId="77777777" w:rsidR="00007D13" w:rsidRPr="009F3ADA" w:rsidRDefault="00007D13" w:rsidP="00007D13">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lastRenderedPageBreak/>
        <w:t xml:space="preserve">Modul de completare a raportului </w:t>
      </w:r>
    </w:p>
    <w:p w14:paraId="34CB6EB6" w14:textId="77777777" w:rsidR="00C94BBE" w:rsidRPr="009F3ADA" w:rsidRDefault="00007D13" w:rsidP="00C94BBE">
      <w:pPr>
        <w:spacing w:before="100" w:beforeAutospacing="1" w:after="100" w:afterAutospacing="1" w:line="240" w:lineRule="auto"/>
        <w:rPr>
          <w:rFonts w:ascii="Times New Roman" w:eastAsia="Times New Roman" w:hAnsi="Times New Roman" w:cs="Times New Roman"/>
          <w:b/>
          <w:bCs/>
          <w:color w:val="000000"/>
          <w:sz w:val="24"/>
          <w:szCs w:val="24"/>
          <w:lang w:eastAsia="ro-MD"/>
        </w:rPr>
      </w:pPr>
      <w:r w:rsidRPr="009F3ADA">
        <w:rPr>
          <w:rFonts w:ascii="Times New Roman" w:eastAsia="Times New Roman" w:hAnsi="Times New Roman" w:cs="Times New Roman"/>
          <w:b/>
          <w:bCs/>
          <w:color w:val="000000"/>
          <w:sz w:val="24"/>
          <w:szCs w:val="24"/>
          <w:lang w:eastAsia="ro-MD"/>
        </w:rPr>
        <w:t xml:space="preserve">C 34.04 – </w:t>
      </w:r>
      <w:r w:rsidR="00C94BBE" w:rsidRPr="009F3ADA">
        <w:rPr>
          <w:rFonts w:ascii="Times New Roman" w:eastAsia="Times New Roman" w:hAnsi="Times New Roman" w:cs="Times New Roman"/>
          <w:b/>
          <w:bCs/>
          <w:color w:val="000000"/>
          <w:sz w:val="24"/>
          <w:szCs w:val="24"/>
          <w:lang w:eastAsia="ro-MD"/>
        </w:rPr>
        <w:t>RISCUL DE CREDIT AL CONTRAPĂRȚII: EXPUNERI LA CCR CU METODA EXPUNERII INIȚIALE (OEM) (CCR 4)</w:t>
      </w:r>
    </w:p>
    <w:p w14:paraId="1C32432B" w14:textId="0873A334" w:rsidR="00007D13" w:rsidRPr="009F3ADA" w:rsidRDefault="00007D13" w:rsidP="00007D13">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t>Instrucțiuni privind anumite poziții</w:t>
      </w:r>
    </w:p>
    <w:tbl>
      <w:tblPr>
        <w:tblStyle w:val="TableGrid"/>
        <w:tblW w:w="8908" w:type="dxa"/>
        <w:tblLook w:val="04A0" w:firstRow="1" w:lastRow="0" w:firstColumn="1" w:lastColumn="0" w:noHBand="0" w:noVBand="1"/>
      </w:tblPr>
      <w:tblGrid>
        <w:gridCol w:w="884"/>
        <w:gridCol w:w="8024"/>
      </w:tblGrid>
      <w:tr w:rsidR="00007D13" w:rsidRPr="009F3ADA" w14:paraId="620EE25F" w14:textId="77777777" w:rsidTr="001E5BEB">
        <w:trPr>
          <w:trHeight w:val="242"/>
        </w:trPr>
        <w:tc>
          <w:tcPr>
            <w:tcW w:w="0" w:type="auto"/>
            <w:gridSpan w:val="2"/>
            <w:hideMark/>
          </w:tcPr>
          <w:p w14:paraId="43710663" w14:textId="77777777" w:rsidR="00007D13" w:rsidRPr="009F3ADA" w:rsidRDefault="00007D13" w:rsidP="00007D13">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r>
      <w:tr w:rsidR="00007D13" w:rsidRPr="009F3ADA" w14:paraId="1FB99D25" w14:textId="77777777" w:rsidTr="001E5BEB">
        <w:trPr>
          <w:trHeight w:val="758"/>
        </w:trPr>
        <w:tc>
          <w:tcPr>
            <w:tcW w:w="0" w:type="auto"/>
            <w:hideMark/>
          </w:tcPr>
          <w:p w14:paraId="700F519E"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0010 - 0020</w:t>
            </w:r>
          </w:p>
        </w:tc>
        <w:tc>
          <w:tcPr>
            <w:tcW w:w="0" w:type="auto"/>
            <w:hideMark/>
          </w:tcPr>
          <w:p w14:paraId="16BB04F3"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Instrucțiunile pentru coloanele 0010 și 0020 sunt cele prevăzute pentru formularul C 34.02.</w:t>
            </w:r>
          </w:p>
        </w:tc>
      </w:tr>
      <w:tr w:rsidR="00007D13" w:rsidRPr="009F3ADA" w14:paraId="5098D45A" w14:textId="77777777" w:rsidTr="001E5BEB">
        <w:trPr>
          <w:trHeight w:val="1492"/>
        </w:trPr>
        <w:tc>
          <w:tcPr>
            <w:tcW w:w="0" w:type="auto"/>
            <w:hideMark/>
          </w:tcPr>
          <w:p w14:paraId="2ECE5721"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w:t>
            </w:r>
          </w:p>
        </w:tc>
        <w:tc>
          <w:tcPr>
            <w:tcW w:w="0" w:type="auto"/>
            <w:hideMark/>
          </w:tcPr>
          <w:p w14:paraId="3CF159CA"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POZITIVĂ</w:t>
            </w:r>
          </w:p>
          <w:p w14:paraId="120E7B31"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Suma valorilor de piață curente (CMV) pentru toate tranzacțiile cu CMV pozitivă în categoria de risc corespunzătoare.</w:t>
            </w:r>
          </w:p>
        </w:tc>
      </w:tr>
      <w:tr w:rsidR="00007D13" w:rsidRPr="009F3ADA" w14:paraId="76FBB812" w14:textId="77777777" w:rsidTr="001E5BEB">
        <w:trPr>
          <w:trHeight w:val="1751"/>
        </w:trPr>
        <w:tc>
          <w:tcPr>
            <w:tcW w:w="0" w:type="auto"/>
            <w:hideMark/>
          </w:tcPr>
          <w:p w14:paraId="12175A76"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0040</w:t>
            </w:r>
          </w:p>
        </w:tc>
        <w:tc>
          <w:tcPr>
            <w:tcW w:w="0" w:type="auto"/>
            <w:hideMark/>
          </w:tcPr>
          <w:p w14:paraId="24F62B93"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NEGATIVĂ</w:t>
            </w:r>
          </w:p>
          <w:p w14:paraId="12F25D8D"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Suma valorilor de piață curente absolute (CMV) pentru toate tranzacțiile cu CMV negativă în categoria de risc corespunzătoare.</w:t>
            </w:r>
          </w:p>
        </w:tc>
      </w:tr>
      <w:tr w:rsidR="00007D13" w:rsidRPr="009F3ADA" w14:paraId="51C80880" w14:textId="77777777" w:rsidTr="001E5BEB">
        <w:trPr>
          <w:trHeight w:val="1751"/>
        </w:trPr>
        <w:tc>
          <w:tcPr>
            <w:tcW w:w="0" w:type="auto"/>
            <w:hideMark/>
          </w:tcPr>
          <w:p w14:paraId="31D1802D"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w:t>
            </w:r>
          </w:p>
        </w:tc>
        <w:tc>
          <w:tcPr>
            <w:tcW w:w="0" w:type="auto"/>
            <w:hideMark/>
          </w:tcPr>
          <w:p w14:paraId="4D2F1F14"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EXPUNEREA VIITOARE POTENȚIALĂ (PFE)</w:t>
            </w:r>
          </w:p>
          <w:p w14:paraId="23C82F37" w14:textId="18DF9E22" w:rsidR="00007D13" w:rsidRPr="009F3ADA" w:rsidRDefault="007C37CB"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Banca</w:t>
            </w:r>
            <w:r w:rsidR="00007D13" w:rsidRPr="009F3ADA">
              <w:rPr>
                <w:rFonts w:ascii="Times New Roman" w:eastAsia="Times New Roman" w:hAnsi="Times New Roman" w:cs="Times New Roman"/>
                <w:sz w:val="24"/>
                <w:szCs w:val="24"/>
                <w:lang w:eastAsia="ro-MD"/>
              </w:rPr>
              <w:t xml:space="preserve"> raportează suma expunerilor viitoare potențiale pentru toate tranzacțiile care aparțin aceleiași categorii de risc.</w:t>
            </w:r>
          </w:p>
        </w:tc>
      </w:tr>
      <w:tr w:rsidR="00007D13" w:rsidRPr="009F3ADA" w14:paraId="164FC3D6" w14:textId="77777777" w:rsidTr="001E5BEB">
        <w:trPr>
          <w:trHeight w:val="257"/>
        </w:trPr>
        <w:tc>
          <w:tcPr>
            <w:tcW w:w="0" w:type="auto"/>
            <w:gridSpan w:val="2"/>
            <w:hideMark/>
          </w:tcPr>
          <w:p w14:paraId="01FB0732"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Rânduri</w:t>
            </w:r>
          </w:p>
        </w:tc>
      </w:tr>
      <w:tr w:rsidR="00007D13" w:rsidRPr="009F3ADA" w14:paraId="6D950C71" w14:textId="77777777" w:rsidTr="001E5BEB">
        <w:trPr>
          <w:trHeight w:val="1751"/>
        </w:trPr>
        <w:tc>
          <w:tcPr>
            <w:tcW w:w="0" w:type="auto"/>
            <w:hideMark/>
          </w:tcPr>
          <w:p w14:paraId="0D18A4D7"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0020 - 0070</w:t>
            </w:r>
          </w:p>
        </w:tc>
        <w:tc>
          <w:tcPr>
            <w:tcW w:w="0" w:type="auto"/>
            <w:hideMark/>
          </w:tcPr>
          <w:p w14:paraId="05788A26" w14:textId="77777777"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CATEGORIILE DE RISC</w:t>
            </w:r>
          </w:p>
          <w:p w14:paraId="7C589690" w14:textId="15920A0F" w:rsidR="00007D13" w:rsidRPr="009F3ADA" w:rsidRDefault="00007D13" w:rsidP="00007D13">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Tranzacțiile cu instrumente financiare derivate care sunt încadrate în categoriile de risc, astfel cum sunt enumerate la </w:t>
            </w:r>
            <w:r w:rsidR="003F77FF" w:rsidRPr="009F3ADA">
              <w:rPr>
                <w:rFonts w:ascii="Times New Roman" w:eastAsia="Times New Roman" w:hAnsi="Times New Roman" w:cs="Times New Roman"/>
                <w:sz w:val="24"/>
                <w:szCs w:val="24"/>
                <w:lang w:eastAsia="ro-MD"/>
              </w:rPr>
              <w:t xml:space="preserve">punctul </w:t>
            </w:r>
            <w:r w:rsidR="0034346F" w:rsidRPr="009F3ADA">
              <w:rPr>
                <w:rFonts w:ascii="Times New Roman" w:eastAsia="Times New Roman" w:hAnsi="Times New Roman" w:cs="Times New Roman"/>
                <w:sz w:val="24"/>
                <w:szCs w:val="24"/>
                <w:lang w:eastAsia="ro-MD"/>
              </w:rPr>
              <w:t>10</w:t>
            </w:r>
            <w:r w:rsidR="00F7100B" w:rsidRPr="009F3ADA">
              <w:rPr>
                <w:rFonts w:ascii="Times New Roman" w:eastAsia="Times New Roman" w:hAnsi="Times New Roman" w:cs="Times New Roman"/>
                <w:sz w:val="24"/>
                <w:szCs w:val="24"/>
                <w:lang w:eastAsia="ro-MD"/>
              </w:rPr>
              <w:t>4</w:t>
            </w:r>
            <w:r w:rsidR="003F77FF" w:rsidRPr="009F3ADA">
              <w:rPr>
                <w:rFonts w:ascii="Times New Roman" w:eastAsia="Times New Roman" w:hAnsi="Times New Roman" w:cs="Times New Roman"/>
                <w:sz w:val="24"/>
                <w:szCs w:val="24"/>
                <w:lang w:eastAsia="ro-MD"/>
              </w:rPr>
              <w:t xml:space="preserve">, subpunctul </w:t>
            </w:r>
            <w:r w:rsidR="0034346F" w:rsidRPr="009F3ADA">
              <w:rPr>
                <w:rFonts w:ascii="Times New Roman" w:eastAsia="Times New Roman" w:hAnsi="Times New Roman" w:cs="Times New Roman"/>
                <w:sz w:val="24"/>
                <w:szCs w:val="24"/>
                <w:lang w:eastAsia="ro-MD"/>
              </w:rPr>
              <w:t>10</w:t>
            </w:r>
            <w:r w:rsidR="00F7100B" w:rsidRPr="009F3ADA">
              <w:rPr>
                <w:rFonts w:ascii="Times New Roman" w:eastAsia="Times New Roman" w:hAnsi="Times New Roman" w:cs="Times New Roman"/>
                <w:sz w:val="24"/>
                <w:szCs w:val="24"/>
                <w:lang w:eastAsia="ro-MD"/>
              </w:rPr>
              <w:t>4</w:t>
            </w:r>
            <w:r w:rsidR="003F77FF" w:rsidRPr="009F3ADA">
              <w:rPr>
                <w:rFonts w:ascii="Times New Roman" w:eastAsia="Times New Roman" w:hAnsi="Times New Roman" w:cs="Times New Roman"/>
                <w:sz w:val="24"/>
                <w:szCs w:val="24"/>
                <w:lang w:eastAsia="ro-MD"/>
              </w:rPr>
              <w:t>.2</w:t>
            </w:r>
            <w:r w:rsidR="0034346F" w:rsidRPr="009F3ADA">
              <w:rPr>
                <w:rFonts w:ascii="Times New Roman" w:eastAsia="Times New Roman" w:hAnsi="Times New Roman" w:cs="Times New Roman"/>
                <w:sz w:val="24"/>
                <w:szCs w:val="24"/>
                <w:lang w:eastAsia="ro-MD"/>
              </w:rPr>
              <w:t>.</w:t>
            </w:r>
            <w:r w:rsidR="003F77FF" w:rsidRPr="009F3ADA">
              <w:rPr>
                <w:rFonts w:ascii="Times New Roman" w:eastAsia="Times New Roman" w:hAnsi="Times New Roman" w:cs="Times New Roman"/>
                <w:sz w:val="24"/>
                <w:szCs w:val="24"/>
                <w:lang w:eastAsia="ro-MD"/>
              </w:rPr>
              <w:t xml:space="preserve"> din Regulamentul </w:t>
            </w:r>
            <w:r w:rsidR="00ED3A84" w:rsidRPr="009F3ADA">
              <w:rPr>
                <w:rFonts w:ascii="Times New Roman" w:eastAsia="Times New Roman" w:hAnsi="Times New Roman" w:cs="Times New Roman"/>
                <w:sz w:val="24"/>
                <w:szCs w:val="24"/>
                <w:lang w:eastAsia="ro-MD"/>
              </w:rPr>
              <w:t xml:space="preserve">nr.220/2025 </w:t>
            </w:r>
            <w:r w:rsidR="003F77FF" w:rsidRPr="009F3ADA">
              <w:rPr>
                <w:rFonts w:ascii="Times New Roman" w:eastAsia="Times New Roman" w:hAnsi="Times New Roman" w:cs="Times New Roman"/>
                <w:sz w:val="24"/>
                <w:szCs w:val="24"/>
                <w:lang w:eastAsia="ro-MD"/>
              </w:rPr>
              <w:t xml:space="preserve">cu privire la tratamentul riscului de credit al </w:t>
            </w:r>
            <w:proofErr w:type="spellStart"/>
            <w:r w:rsidR="003F77FF" w:rsidRPr="009F3ADA">
              <w:rPr>
                <w:rFonts w:ascii="Times New Roman" w:eastAsia="Times New Roman" w:hAnsi="Times New Roman" w:cs="Times New Roman"/>
                <w:sz w:val="24"/>
                <w:szCs w:val="24"/>
                <w:lang w:eastAsia="ro-MD"/>
              </w:rPr>
              <w:t>contrapărţii</w:t>
            </w:r>
            <w:proofErr w:type="spellEnd"/>
            <w:r w:rsidR="003F77FF" w:rsidRPr="009F3ADA">
              <w:rPr>
                <w:rFonts w:ascii="Times New Roman" w:eastAsia="Times New Roman" w:hAnsi="Times New Roman" w:cs="Times New Roman"/>
                <w:sz w:val="24"/>
                <w:szCs w:val="24"/>
                <w:lang w:eastAsia="ro-MD"/>
              </w:rPr>
              <w:t xml:space="preserve"> pentru bănci.</w:t>
            </w:r>
          </w:p>
        </w:tc>
      </w:tr>
    </w:tbl>
    <w:p w14:paraId="17AEC7D4" w14:textId="77777777" w:rsidR="00007D13" w:rsidRPr="009F3ADA" w:rsidRDefault="00007D13" w:rsidP="00007D13">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007D13" w:rsidRPr="009F3ADA" w:rsidSect="00007D13">
          <w:pgSz w:w="11906" w:h="16838" w:code="9"/>
          <w:pgMar w:top="1134" w:right="851" w:bottom="1134" w:left="1701" w:header="709" w:footer="709" w:gutter="0"/>
          <w:cols w:space="708"/>
          <w:docGrid w:linePitch="360"/>
        </w:sectPr>
      </w:pPr>
    </w:p>
    <w:p w14:paraId="38DD6548" w14:textId="77777777" w:rsidR="006E05D1" w:rsidRPr="009F3ADA" w:rsidRDefault="006E05D1" w:rsidP="006E05D1">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8A2A945" w14:textId="77777777" w:rsidR="006E05D1" w:rsidRPr="009F3ADA" w:rsidRDefault="006E05D1" w:rsidP="006E05D1">
      <w:pPr>
        <w:spacing w:before="100" w:beforeAutospacing="1" w:after="100" w:afterAutospacing="1" w:line="240" w:lineRule="auto"/>
        <w:rPr>
          <w:rFonts w:ascii="Times New Roman" w:eastAsia="Times New Roman" w:hAnsi="Times New Roman" w:cs="Times New Roman"/>
          <w:b/>
          <w:bCs/>
          <w:color w:val="000000"/>
          <w:sz w:val="27"/>
          <w:szCs w:val="27"/>
          <w:lang w:eastAsia="ro-MD"/>
        </w:rPr>
      </w:pPr>
      <w:r w:rsidRPr="009F3ADA">
        <w:rPr>
          <w:rFonts w:ascii="Times New Roman" w:eastAsia="Calibri" w:hAnsi="Times New Roman" w:cs="Times New Roman"/>
          <w:b/>
          <w:sz w:val="24"/>
          <w:szCs w:val="24"/>
          <w:lang w:val="it-CH"/>
        </w:rPr>
        <w:t xml:space="preserve">PREZENTAREA GENERALĂ A </w:t>
      </w:r>
      <w:r w:rsidRPr="009F3ADA">
        <w:rPr>
          <w:rFonts w:ascii="Times New Roman" w:eastAsia="Times New Roman" w:hAnsi="Times New Roman" w:cs="Times New Roman"/>
          <w:b/>
          <w:bCs/>
          <w:sz w:val="24"/>
          <w:szCs w:val="24"/>
          <w:lang w:eastAsia="ro-MD"/>
        </w:rPr>
        <w:t xml:space="preserve">RAPORTĂRII PRIVIND RISCUL DE CREDIT AL CONTRAPĂRȚII: </w:t>
      </w:r>
      <w:r w:rsidRPr="009F3ADA">
        <w:rPr>
          <w:rFonts w:ascii="Times New Roman" w:eastAsia="Times New Roman" w:hAnsi="Times New Roman" w:cs="Times New Roman"/>
          <w:b/>
          <w:bCs/>
          <w:color w:val="000000"/>
          <w:sz w:val="24"/>
          <w:szCs w:val="24"/>
          <w:lang w:eastAsia="ro-MD"/>
        </w:rPr>
        <w:t>PRIMELE DOUĂZECI DE CONTRAPĂRȚI (CCR 6)</w:t>
      </w:r>
    </w:p>
    <w:p w14:paraId="6344693F" w14:textId="0F54CF1D" w:rsidR="006E05D1" w:rsidRPr="009F3ADA" w:rsidRDefault="00321A0B" w:rsidP="00321A0B">
      <w:pPr>
        <w:pStyle w:val="norm"/>
        <w:jc w:val="both"/>
        <w:rPr>
          <w:color w:val="000000"/>
        </w:rPr>
      </w:pPr>
      <w:r w:rsidRPr="009F3ADA">
        <w:rPr>
          <w:color w:val="000000"/>
        </w:rPr>
        <w:t>1</w:t>
      </w:r>
      <w:r w:rsidR="006E05D1" w:rsidRPr="009F3ADA">
        <w:rPr>
          <w:color w:val="000000"/>
        </w:rPr>
        <w:t>. </w:t>
      </w:r>
      <w:r w:rsidR="007C37CB" w:rsidRPr="009F3ADA">
        <w:rPr>
          <w:color w:val="000000"/>
        </w:rPr>
        <w:t>Băncile</w:t>
      </w:r>
      <w:r w:rsidR="006E05D1" w:rsidRPr="009F3ADA">
        <w:rPr>
          <w:color w:val="000000"/>
        </w:rPr>
        <w:t xml:space="preserve"> raportează informații cu privire la cele mai importante 20 de </w:t>
      </w:r>
      <w:proofErr w:type="spellStart"/>
      <w:r w:rsidR="006E05D1" w:rsidRPr="009F3ADA">
        <w:rPr>
          <w:color w:val="000000"/>
        </w:rPr>
        <w:t>contrapărți</w:t>
      </w:r>
      <w:proofErr w:type="spellEnd"/>
      <w:r w:rsidR="006E05D1" w:rsidRPr="009F3ADA">
        <w:rPr>
          <w:color w:val="000000"/>
        </w:rPr>
        <w:t xml:space="preserve"> față de care au cele mai ridicate expuneri la riscul de credit al </w:t>
      </w:r>
      <w:proofErr w:type="spellStart"/>
      <w:r w:rsidR="006E05D1" w:rsidRPr="009F3ADA">
        <w:rPr>
          <w:color w:val="000000"/>
        </w:rPr>
        <w:t>contrapărții</w:t>
      </w:r>
      <w:proofErr w:type="spellEnd"/>
      <w:r w:rsidR="006E05D1" w:rsidRPr="009F3ADA">
        <w:rPr>
          <w:color w:val="000000"/>
        </w:rPr>
        <w:t xml:space="preserve">. Clasificarea se efectuează utilizând valorile expunerii la riscul de credit al </w:t>
      </w:r>
      <w:proofErr w:type="spellStart"/>
      <w:r w:rsidR="006E05D1" w:rsidRPr="009F3ADA">
        <w:rPr>
          <w:color w:val="000000"/>
        </w:rPr>
        <w:t>contrapărții</w:t>
      </w:r>
      <w:proofErr w:type="spellEnd"/>
      <w:r w:rsidR="006E05D1" w:rsidRPr="009F3ADA">
        <w:rPr>
          <w:color w:val="000000"/>
        </w:rPr>
        <w:t xml:space="preserve">, astfel cum sunt </w:t>
      </w:r>
      <w:r w:rsidR="004922DE" w:rsidRPr="009F3ADA">
        <w:rPr>
          <w:color w:val="000000"/>
        </w:rPr>
        <w:t xml:space="preserve">incluse </w:t>
      </w:r>
      <w:r w:rsidR="006E05D1" w:rsidRPr="009F3ADA">
        <w:rPr>
          <w:color w:val="000000"/>
        </w:rPr>
        <w:t xml:space="preserve">în coloana 0120 din acest formular, pentru toate seturile de compensare cu </w:t>
      </w:r>
      <w:proofErr w:type="spellStart"/>
      <w:r w:rsidR="006E05D1" w:rsidRPr="009F3ADA">
        <w:rPr>
          <w:color w:val="000000"/>
        </w:rPr>
        <w:t>contrapărțile</w:t>
      </w:r>
      <w:proofErr w:type="spellEnd"/>
      <w:r w:rsidR="006E05D1" w:rsidRPr="009F3ADA">
        <w:rPr>
          <w:color w:val="000000"/>
        </w:rPr>
        <w:t xml:space="preserve"> respective. Expunerile </w:t>
      </w:r>
      <w:proofErr w:type="spellStart"/>
      <w:r w:rsidR="006E05D1" w:rsidRPr="009F3ADA">
        <w:rPr>
          <w:color w:val="000000"/>
        </w:rPr>
        <w:t>intragrup</w:t>
      </w:r>
      <w:proofErr w:type="spellEnd"/>
      <w:r w:rsidR="006E05D1" w:rsidRPr="009F3ADA">
        <w:rPr>
          <w:color w:val="000000"/>
        </w:rPr>
        <w:t xml:space="preserve"> sau alte expuneri care generează un risc de credit al </w:t>
      </w:r>
      <w:proofErr w:type="spellStart"/>
      <w:r w:rsidR="006E05D1" w:rsidRPr="009F3ADA">
        <w:rPr>
          <w:color w:val="000000"/>
        </w:rPr>
        <w:t>contrapărții</w:t>
      </w:r>
      <w:proofErr w:type="spellEnd"/>
      <w:r w:rsidR="006E05D1" w:rsidRPr="009F3ADA">
        <w:rPr>
          <w:color w:val="000000"/>
        </w:rPr>
        <w:t xml:space="preserve">, dar pentru care </w:t>
      </w:r>
      <w:r w:rsidR="007C37CB" w:rsidRPr="009F3ADA">
        <w:rPr>
          <w:color w:val="000000"/>
        </w:rPr>
        <w:t>băncile</w:t>
      </w:r>
      <w:r w:rsidR="006E05D1" w:rsidRPr="009F3ADA">
        <w:rPr>
          <w:color w:val="000000"/>
        </w:rPr>
        <w:t xml:space="preserve"> atribuie o pondere de risc egală cu zero pentru calcularea cerințelor de fonduri proprii, în conformitate cu </w:t>
      </w:r>
      <w:r w:rsidR="00822FE2" w:rsidRPr="009F3ADA">
        <w:rPr>
          <w:color w:val="000000"/>
        </w:rPr>
        <w:t xml:space="preserve">Regulamentul </w:t>
      </w:r>
      <w:r w:rsidR="00ED3A84" w:rsidRPr="009F3ADA">
        <w:rPr>
          <w:color w:val="000000"/>
        </w:rPr>
        <w:t xml:space="preserve">nr.220/2025 </w:t>
      </w:r>
      <w:r w:rsidR="00822FE2" w:rsidRPr="009F3ADA">
        <w:rPr>
          <w:color w:val="000000"/>
        </w:rPr>
        <w:t>cu privire la tratamentul riscului de credit pentru bănci potrivit abordării standardizate</w:t>
      </w:r>
      <w:r w:rsidR="006E05D1" w:rsidRPr="009F3ADA">
        <w:rPr>
          <w:color w:val="000000"/>
        </w:rPr>
        <w:t xml:space="preserve">, se iau totuși în considerare la stabilirea listei celor mai importante 20 de </w:t>
      </w:r>
      <w:proofErr w:type="spellStart"/>
      <w:r w:rsidR="006E05D1" w:rsidRPr="009F3ADA">
        <w:rPr>
          <w:color w:val="000000"/>
        </w:rPr>
        <w:t>contrapărți</w:t>
      </w:r>
      <w:proofErr w:type="spellEnd"/>
      <w:r w:rsidR="006E05D1" w:rsidRPr="009F3ADA">
        <w:rPr>
          <w:color w:val="000000"/>
        </w:rPr>
        <w:t>.</w:t>
      </w:r>
    </w:p>
    <w:p w14:paraId="52868408" w14:textId="335E81E1" w:rsidR="006E05D1" w:rsidRPr="009F3ADA" w:rsidRDefault="00321A0B" w:rsidP="00321A0B">
      <w:pPr>
        <w:pStyle w:val="norm"/>
        <w:jc w:val="both"/>
        <w:rPr>
          <w:color w:val="000000"/>
        </w:rPr>
      </w:pPr>
      <w:r w:rsidRPr="009F3ADA">
        <w:rPr>
          <w:color w:val="000000"/>
        </w:rPr>
        <w:t>2</w:t>
      </w:r>
      <w:r w:rsidR="006E05D1" w:rsidRPr="009F3ADA">
        <w:rPr>
          <w:color w:val="000000"/>
        </w:rPr>
        <w:t>. </w:t>
      </w:r>
      <w:r w:rsidR="007C37CB" w:rsidRPr="009F3ADA">
        <w:rPr>
          <w:color w:val="000000"/>
        </w:rPr>
        <w:t>Băncile</w:t>
      </w:r>
      <w:r w:rsidR="006E05D1" w:rsidRPr="009F3ADA">
        <w:rPr>
          <w:color w:val="000000"/>
        </w:rPr>
        <w:t xml:space="preserve"> care aplică abordarea standardizată (SA-CCR) pentru calcularea expunerilor la riscul de credit al </w:t>
      </w:r>
      <w:proofErr w:type="spellStart"/>
      <w:r w:rsidR="006E05D1" w:rsidRPr="009F3ADA">
        <w:rPr>
          <w:color w:val="000000"/>
        </w:rPr>
        <w:t>contrapărții</w:t>
      </w:r>
      <w:proofErr w:type="spellEnd"/>
      <w:r w:rsidR="006E05D1" w:rsidRPr="009F3ADA">
        <w:rPr>
          <w:color w:val="000000"/>
        </w:rPr>
        <w:t xml:space="preserve"> în conformitate cu </w:t>
      </w:r>
      <w:r w:rsidR="00822FE2" w:rsidRPr="009F3ADA">
        <w:rPr>
          <w:color w:val="000000"/>
        </w:rPr>
        <w:t xml:space="preserve">capitolul III „Abordarea standardizată pentru riscul de credit al </w:t>
      </w:r>
      <w:proofErr w:type="spellStart"/>
      <w:r w:rsidR="00822FE2" w:rsidRPr="009F3ADA">
        <w:rPr>
          <w:color w:val="000000"/>
        </w:rPr>
        <w:t>contrapărţii</w:t>
      </w:r>
      <w:proofErr w:type="spellEnd"/>
      <w:r w:rsidR="00822FE2" w:rsidRPr="009F3ADA">
        <w:rPr>
          <w:color w:val="000000"/>
        </w:rPr>
        <w:t xml:space="preserve">” din  Regulamentul </w:t>
      </w:r>
      <w:r w:rsidR="00ED3A84" w:rsidRPr="009F3ADA">
        <w:rPr>
          <w:color w:val="000000"/>
        </w:rPr>
        <w:t xml:space="preserve">nr.220/2025 </w:t>
      </w:r>
      <w:r w:rsidR="00822FE2" w:rsidRPr="009F3ADA">
        <w:rPr>
          <w:color w:val="000000"/>
        </w:rPr>
        <w:t xml:space="preserve">cu privire la tratamentul riscului de credit al </w:t>
      </w:r>
      <w:proofErr w:type="spellStart"/>
      <w:r w:rsidR="00822FE2" w:rsidRPr="009F3ADA">
        <w:rPr>
          <w:color w:val="000000"/>
        </w:rPr>
        <w:t>contrapărţii</w:t>
      </w:r>
      <w:proofErr w:type="spellEnd"/>
      <w:r w:rsidR="00822FE2" w:rsidRPr="009F3ADA">
        <w:rPr>
          <w:color w:val="000000"/>
        </w:rPr>
        <w:t xml:space="preserve"> pentru bănci</w:t>
      </w:r>
      <w:r w:rsidR="00822FE2" w:rsidRPr="009F3ADA">
        <w:rPr>
          <w:b/>
          <w:bCs/>
          <w:color w:val="000000"/>
        </w:rPr>
        <w:t xml:space="preserve"> </w:t>
      </w:r>
      <w:r w:rsidR="004922DE" w:rsidRPr="009F3ADA">
        <w:rPr>
          <w:color w:val="000000"/>
        </w:rPr>
        <w:t>completează</w:t>
      </w:r>
      <w:r w:rsidR="004922DE" w:rsidRPr="009F3ADA">
        <w:rPr>
          <w:b/>
          <w:bCs/>
          <w:color w:val="000000"/>
        </w:rPr>
        <w:t xml:space="preserve"> </w:t>
      </w:r>
      <w:r w:rsidR="006E05D1" w:rsidRPr="009F3ADA">
        <w:rPr>
          <w:color w:val="000000"/>
        </w:rPr>
        <w:t xml:space="preserve">acest formular trimestrial. </w:t>
      </w:r>
      <w:r w:rsidR="007C37CB" w:rsidRPr="009F3ADA">
        <w:rPr>
          <w:color w:val="000000"/>
        </w:rPr>
        <w:t>Băncile</w:t>
      </w:r>
      <w:r w:rsidR="006E05D1" w:rsidRPr="009F3ADA">
        <w:rPr>
          <w:color w:val="000000"/>
        </w:rPr>
        <w:t xml:space="preserve"> care aplică abordarea standardizată simplificată sau metoda expunerii inițiale (OEM) pentru calcularea expunerilor la riscul de credit al </w:t>
      </w:r>
      <w:proofErr w:type="spellStart"/>
      <w:r w:rsidR="006E05D1" w:rsidRPr="009F3ADA">
        <w:rPr>
          <w:color w:val="000000"/>
        </w:rPr>
        <w:t>contrapărții</w:t>
      </w:r>
      <w:proofErr w:type="spellEnd"/>
      <w:r w:rsidR="006E05D1" w:rsidRPr="009F3ADA">
        <w:rPr>
          <w:color w:val="000000"/>
        </w:rPr>
        <w:t xml:space="preserve"> în conformitate cu </w:t>
      </w:r>
      <w:r w:rsidR="00822FE2" w:rsidRPr="009F3ADA">
        <w:rPr>
          <w:color w:val="000000"/>
        </w:rPr>
        <w:t xml:space="preserve">capitolul IV „Abordarea standardizată simplificată pentru riscul de credit al </w:t>
      </w:r>
      <w:proofErr w:type="spellStart"/>
      <w:r w:rsidR="00822FE2" w:rsidRPr="009F3ADA">
        <w:rPr>
          <w:color w:val="000000"/>
        </w:rPr>
        <w:t>contrapărţii</w:t>
      </w:r>
      <w:proofErr w:type="spellEnd"/>
      <w:r w:rsidR="00822FE2" w:rsidRPr="009F3ADA">
        <w:rPr>
          <w:color w:val="000000"/>
        </w:rPr>
        <w:t xml:space="preserve">” și </w:t>
      </w:r>
      <w:r w:rsidR="00993600" w:rsidRPr="009F3ADA">
        <w:rPr>
          <w:color w:val="000000"/>
        </w:rPr>
        <w:t>c</w:t>
      </w:r>
      <w:r w:rsidR="00822FE2" w:rsidRPr="009F3ADA">
        <w:rPr>
          <w:color w:val="000000"/>
        </w:rPr>
        <w:t>apitolul V „Metoda  expunerii inițiale</w:t>
      </w:r>
      <w:r w:rsidR="00817AD9" w:rsidRPr="009F3ADA">
        <w:rPr>
          <w:color w:val="000000"/>
        </w:rPr>
        <w:t>”</w:t>
      </w:r>
      <w:r w:rsidR="00822FE2" w:rsidRPr="009F3ADA">
        <w:rPr>
          <w:color w:val="000000"/>
        </w:rPr>
        <w:t xml:space="preserve"> din Regulamentului </w:t>
      </w:r>
      <w:r w:rsidR="00ED3A84" w:rsidRPr="009F3ADA">
        <w:rPr>
          <w:color w:val="000000"/>
        </w:rPr>
        <w:t xml:space="preserve">nr.220/2025 </w:t>
      </w:r>
      <w:r w:rsidR="00822FE2" w:rsidRPr="009F3ADA">
        <w:rPr>
          <w:color w:val="000000"/>
        </w:rPr>
        <w:t xml:space="preserve">cu privire la tratamentul riscului de credit al </w:t>
      </w:r>
      <w:proofErr w:type="spellStart"/>
      <w:r w:rsidR="00822FE2" w:rsidRPr="009F3ADA">
        <w:rPr>
          <w:color w:val="000000"/>
        </w:rPr>
        <w:t>contrapărţii</w:t>
      </w:r>
      <w:proofErr w:type="spellEnd"/>
      <w:r w:rsidR="00822FE2" w:rsidRPr="009F3ADA">
        <w:rPr>
          <w:color w:val="000000"/>
        </w:rPr>
        <w:t xml:space="preserve"> pentru bănci </w:t>
      </w:r>
      <w:r w:rsidR="006E05D1" w:rsidRPr="009F3ADA">
        <w:rPr>
          <w:color w:val="000000"/>
        </w:rPr>
        <w:t>trebuie să raporteze acest formular semestrial</w:t>
      </w:r>
      <w:r w:rsidR="00822FE2" w:rsidRPr="009F3ADA">
        <w:rPr>
          <w:color w:val="000000"/>
        </w:rPr>
        <w:t>.</w:t>
      </w:r>
    </w:p>
    <w:p w14:paraId="76077D82" w14:textId="77777777" w:rsidR="006E05D1" w:rsidRPr="009F3ADA" w:rsidRDefault="006E05D1" w:rsidP="006E05D1">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6E05D1" w:rsidRPr="009F3ADA" w:rsidSect="002B2D04">
          <w:pgSz w:w="11906" w:h="16838" w:code="9"/>
          <w:pgMar w:top="1134" w:right="851" w:bottom="1134" w:left="1701" w:header="709" w:footer="709" w:gutter="0"/>
          <w:cols w:space="708"/>
          <w:docGrid w:linePitch="360"/>
        </w:sectPr>
      </w:pPr>
    </w:p>
    <w:p w14:paraId="4531CF8B" w14:textId="40712BF2" w:rsidR="001E2A95" w:rsidRPr="009F3ADA" w:rsidRDefault="00FE43B4"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lastRenderedPageBreak/>
        <w:t>Formularul</w:t>
      </w:r>
      <w:r w:rsidR="001E2A95" w:rsidRPr="009F3ADA">
        <w:rPr>
          <w:rFonts w:ascii="Times New Roman" w:eastAsia="Times New Roman" w:hAnsi="Times New Roman" w:cs="Times New Roman"/>
          <w:b/>
          <w:bCs/>
          <w:color w:val="000000"/>
          <w:sz w:val="27"/>
          <w:szCs w:val="27"/>
          <w:lang w:eastAsia="ro-MD"/>
        </w:rPr>
        <w:t xml:space="preserve"> raportului</w:t>
      </w:r>
    </w:p>
    <w:p w14:paraId="4A35BF1D" w14:textId="48E2F084" w:rsidR="001102FE" w:rsidRPr="009F3ADA" w:rsidRDefault="001102FE" w:rsidP="001E2A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34.06 </w:t>
      </w:r>
      <w:bookmarkStart w:id="18" w:name="_Hlk202268663"/>
      <w:r w:rsidRPr="009F3ADA">
        <w:rPr>
          <w:rFonts w:ascii="Times New Roman" w:eastAsia="Times New Roman" w:hAnsi="Times New Roman" w:cs="Times New Roman"/>
          <w:b/>
          <w:bCs/>
          <w:color w:val="000000"/>
          <w:sz w:val="27"/>
          <w:szCs w:val="27"/>
          <w:lang w:eastAsia="ro-MD"/>
        </w:rPr>
        <w:t>RISCUL DE CREDIT AL CONTRAPĂRȚII: PRIMELE DOUĂZECI DE CONTRAPĂRȚI (CCR 6)</w:t>
      </w:r>
    </w:p>
    <w:tbl>
      <w:tblPr>
        <w:tblStyle w:val="TableGrid"/>
        <w:tblW w:w="3600" w:type="dxa"/>
        <w:tblLook w:val="04A0" w:firstRow="1" w:lastRow="0" w:firstColumn="1" w:lastColumn="0" w:noHBand="0" w:noVBand="1"/>
      </w:tblPr>
      <w:tblGrid>
        <w:gridCol w:w="976"/>
        <w:gridCol w:w="520"/>
        <w:gridCol w:w="626"/>
        <w:gridCol w:w="952"/>
        <w:gridCol w:w="1286"/>
        <w:gridCol w:w="1256"/>
        <w:gridCol w:w="1286"/>
        <w:gridCol w:w="1088"/>
        <w:gridCol w:w="1179"/>
        <w:gridCol w:w="972"/>
        <w:gridCol w:w="972"/>
        <w:gridCol w:w="1104"/>
        <w:gridCol w:w="982"/>
        <w:gridCol w:w="1361"/>
      </w:tblGrid>
      <w:tr w:rsidR="00556102" w:rsidRPr="009F3ADA" w14:paraId="767CF4C6" w14:textId="77777777" w:rsidTr="001E5BEB">
        <w:tc>
          <w:tcPr>
            <w:tcW w:w="0" w:type="auto"/>
            <w:hideMark/>
          </w:tcPr>
          <w:p w14:paraId="0AF18DBC" w14:textId="595E77F6"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bookmarkStart w:id="19" w:name="_Hlk202189517"/>
            <w:bookmarkEnd w:id="18"/>
            <w:r w:rsidRPr="009F3ADA">
              <w:rPr>
                <w:rFonts w:ascii="Times New Roman" w:eastAsia="Times New Roman" w:hAnsi="Times New Roman" w:cs="Times New Roman"/>
                <w:b/>
                <w:bCs/>
                <w:sz w:val="24"/>
                <w:szCs w:val="24"/>
                <w:lang w:eastAsia="ro-MD"/>
              </w:rPr>
              <w:t>DENUMIRE</w:t>
            </w:r>
          </w:p>
        </w:tc>
        <w:tc>
          <w:tcPr>
            <w:tcW w:w="0" w:type="auto"/>
            <w:hideMark/>
          </w:tcPr>
          <w:p w14:paraId="6FD722BC" w14:textId="0E7A36C2"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COD</w:t>
            </w:r>
          </w:p>
        </w:tc>
        <w:tc>
          <w:tcPr>
            <w:tcW w:w="0" w:type="auto"/>
            <w:hideMark/>
          </w:tcPr>
          <w:p w14:paraId="2B5C8467" w14:textId="0F4E8F3A"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TIPUL DE COD</w:t>
            </w:r>
          </w:p>
        </w:tc>
        <w:tc>
          <w:tcPr>
            <w:tcW w:w="0" w:type="auto"/>
            <w:hideMark/>
          </w:tcPr>
          <w:p w14:paraId="175031DF" w14:textId="57814AAF"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CODUL NAȚIONAL</w:t>
            </w:r>
          </w:p>
        </w:tc>
        <w:tc>
          <w:tcPr>
            <w:tcW w:w="0" w:type="auto"/>
            <w:hideMark/>
          </w:tcPr>
          <w:p w14:paraId="7A95F24D" w14:textId="226E1EE2"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SECTORUL CONTRAPĂRȚII</w:t>
            </w:r>
          </w:p>
        </w:tc>
        <w:tc>
          <w:tcPr>
            <w:tcW w:w="0" w:type="auto"/>
            <w:hideMark/>
          </w:tcPr>
          <w:p w14:paraId="657D8050" w14:textId="1B715777"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TIPUL DE CONTRAPARTE</w:t>
            </w:r>
          </w:p>
        </w:tc>
        <w:tc>
          <w:tcPr>
            <w:tcW w:w="0" w:type="auto"/>
            <w:hideMark/>
          </w:tcPr>
          <w:p w14:paraId="1AB05F25" w14:textId="22A44607"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REȘEDINȚA CONTRAPĂRȚII</w:t>
            </w:r>
          </w:p>
        </w:tc>
        <w:tc>
          <w:tcPr>
            <w:tcW w:w="0" w:type="auto"/>
            <w:hideMark/>
          </w:tcPr>
          <w:p w14:paraId="7B3EDF5C" w14:textId="770E74AE"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NUMĂRUL DE TRANZACȚII</w:t>
            </w:r>
          </w:p>
        </w:tc>
        <w:tc>
          <w:tcPr>
            <w:tcW w:w="0" w:type="auto"/>
            <w:hideMark/>
          </w:tcPr>
          <w:p w14:paraId="360BD338" w14:textId="781AA3DF"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CUANTUMURI NOȚIONALE</w:t>
            </w:r>
          </w:p>
        </w:tc>
        <w:tc>
          <w:tcPr>
            <w:tcW w:w="0" w:type="auto"/>
            <w:hideMark/>
          </w:tcPr>
          <w:p w14:paraId="7EB2DC7D" w14:textId="717427F1"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VALOAREA DE PIAȚĂ CURENTĂ (CMV), POZITIVĂ</w:t>
            </w:r>
          </w:p>
        </w:tc>
        <w:tc>
          <w:tcPr>
            <w:tcW w:w="0" w:type="auto"/>
            <w:hideMark/>
          </w:tcPr>
          <w:p w14:paraId="2EC19CC0" w14:textId="31A3A496"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VALOAREA DE PIAȚĂ CURENTĂ (CMV), NEGATIVĂ</w:t>
            </w:r>
          </w:p>
        </w:tc>
        <w:tc>
          <w:tcPr>
            <w:tcW w:w="0" w:type="auto"/>
            <w:hideMark/>
          </w:tcPr>
          <w:p w14:paraId="54A7369C" w14:textId="59E00318"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VALOAREA EXPUNERII DUPĂ APLICAREA TEHNICILOR CRM</w:t>
            </w:r>
          </w:p>
        </w:tc>
        <w:tc>
          <w:tcPr>
            <w:tcW w:w="0" w:type="auto"/>
            <w:hideMark/>
          </w:tcPr>
          <w:p w14:paraId="2DE6D5BD" w14:textId="137CA977"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VALOAREA EXPUNERII</w:t>
            </w:r>
          </w:p>
        </w:tc>
        <w:tc>
          <w:tcPr>
            <w:tcW w:w="0" w:type="auto"/>
            <w:hideMark/>
          </w:tcPr>
          <w:p w14:paraId="0BA2900D" w14:textId="6C8D84FA" w:rsidR="001102FE" w:rsidRPr="009F3ADA" w:rsidRDefault="005A76C6"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CUANTUMURILE PONDERATE LA RISC ALE EXPUNERII</w:t>
            </w:r>
          </w:p>
        </w:tc>
      </w:tr>
      <w:tr w:rsidR="00556102" w:rsidRPr="009F3ADA" w14:paraId="75CE8EE0" w14:textId="77777777" w:rsidTr="001E5BEB">
        <w:tc>
          <w:tcPr>
            <w:tcW w:w="0" w:type="auto"/>
            <w:hideMark/>
          </w:tcPr>
          <w:p w14:paraId="32C736A8"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0010</w:t>
            </w:r>
          </w:p>
        </w:tc>
        <w:tc>
          <w:tcPr>
            <w:tcW w:w="0" w:type="auto"/>
            <w:hideMark/>
          </w:tcPr>
          <w:p w14:paraId="1F88A612"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0020</w:t>
            </w:r>
          </w:p>
        </w:tc>
        <w:tc>
          <w:tcPr>
            <w:tcW w:w="0" w:type="auto"/>
            <w:hideMark/>
          </w:tcPr>
          <w:p w14:paraId="5857CE9D"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0030</w:t>
            </w:r>
          </w:p>
        </w:tc>
        <w:tc>
          <w:tcPr>
            <w:tcW w:w="0" w:type="auto"/>
            <w:hideMark/>
          </w:tcPr>
          <w:p w14:paraId="3B9E4137"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0035</w:t>
            </w:r>
          </w:p>
        </w:tc>
        <w:tc>
          <w:tcPr>
            <w:tcW w:w="0" w:type="auto"/>
            <w:hideMark/>
          </w:tcPr>
          <w:p w14:paraId="4138AF33"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0040</w:t>
            </w:r>
          </w:p>
        </w:tc>
        <w:tc>
          <w:tcPr>
            <w:tcW w:w="0" w:type="auto"/>
            <w:hideMark/>
          </w:tcPr>
          <w:p w14:paraId="36A617A9"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0050</w:t>
            </w:r>
          </w:p>
        </w:tc>
        <w:tc>
          <w:tcPr>
            <w:tcW w:w="0" w:type="auto"/>
            <w:hideMark/>
          </w:tcPr>
          <w:p w14:paraId="1CE689F6"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0060</w:t>
            </w:r>
          </w:p>
        </w:tc>
        <w:tc>
          <w:tcPr>
            <w:tcW w:w="0" w:type="auto"/>
            <w:hideMark/>
          </w:tcPr>
          <w:p w14:paraId="5347547E"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0070</w:t>
            </w:r>
          </w:p>
        </w:tc>
        <w:tc>
          <w:tcPr>
            <w:tcW w:w="0" w:type="auto"/>
            <w:hideMark/>
          </w:tcPr>
          <w:p w14:paraId="72815377"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0080</w:t>
            </w:r>
          </w:p>
        </w:tc>
        <w:tc>
          <w:tcPr>
            <w:tcW w:w="0" w:type="auto"/>
            <w:hideMark/>
          </w:tcPr>
          <w:p w14:paraId="666BF96F"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0090</w:t>
            </w:r>
          </w:p>
        </w:tc>
        <w:tc>
          <w:tcPr>
            <w:tcW w:w="0" w:type="auto"/>
            <w:hideMark/>
          </w:tcPr>
          <w:p w14:paraId="574D053E"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0100</w:t>
            </w:r>
          </w:p>
        </w:tc>
        <w:tc>
          <w:tcPr>
            <w:tcW w:w="0" w:type="auto"/>
            <w:hideMark/>
          </w:tcPr>
          <w:p w14:paraId="40CF0745"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0110</w:t>
            </w:r>
          </w:p>
        </w:tc>
        <w:tc>
          <w:tcPr>
            <w:tcW w:w="0" w:type="auto"/>
            <w:hideMark/>
          </w:tcPr>
          <w:p w14:paraId="6156C38C"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0120</w:t>
            </w:r>
          </w:p>
        </w:tc>
        <w:tc>
          <w:tcPr>
            <w:tcW w:w="0" w:type="auto"/>
            <w:hideMark/>
          </w:tcPr>
          <w:p w14:paraId="5898B7C3" w14:textId="77777777" w:rsidR="001102FE" w:rsidRPr="009F3ADA" w:rsidRDefault="001102FE" w:rsidP="006E05D1">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0130</w:t>
            </w:r>
          </w:p>
        </w:tc>
      </w:tr>
      <w:tr w:rsidR="00556102" w:rsidRPr="009F3ADA" w14:paraId="7B47FAD3" w14:textId="77777777" w:rsidTr="001E5BEB">
        <w:tc>
          <w:tcPr>
            <w:tcW w:w="0" w:type="auto"/>
            <w:hideMark/>
          </w:tcPr>
          <w:p w14:paraId="104C1BD1"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52D3DEE4"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251AB2FC"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0C514571"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24E1B600"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020FEF73"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3861D343"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1BF28BEF"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42EF0B18"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67896531"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1CFC01F6"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0AE40932" w14:textId="15A68389" w:rsidR="001102FE" w:rsidRPr="009F3ADA" w:rsidRDefault="00C3048D" w:rsidP="00C3048D">
            <w:pPr>
              <w:spacing w:before="100" w:beforeAutospacing="1" w:after="100" w:afterAutospacing="1"/>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X</w:t>
            </w:r>
          </w:p>
        </w:tc>
        <w:tc>
          <w:tcPr>
            <w:tcW w:w="0" w:type="auto"/>
            <w:hideMark/>
          </w:tcPr>
          <w:p w14:paraId="694179EF"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0FEFBD90"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r>
      <w:bookmarkEnd w:id="19"/>
    </w:tbl>
    <w:p w14:paraId="1E7B8B03"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F0C5C3E"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D2CF356"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0ACA05F"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5C58D781"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075958D"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3E6B848" w14:textId="77777777" w:rsidR="006E05D1" w:rsidRPr="009F3ADA" w:rsidRDefault="006E05D1" w:rsidP="006E05D1">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6E05D1" w:rsidRPr="009F3ADA" w:rsidSect="002B2D04">
          <w:pgSz w:w="16838" w:h="11906" w:orient="landscape" w:code="9"/>
          <w:pgMar w:top="1701" w:right="1134" w:bottom="851" w:left="1134" w:header="709" w:footer="709" w:gutter="0"/>
          <w:cols w:space="708"/>
          <w:docGrid w:linePitch="360"/>
        </w:sectPr>
      </w:pPr>
    </w:p>
    <w:p w14:paraId="136E75BA" w14:textId="0A54BA6D" w:rsidR="001102FE"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lastRenderedPageBreak/>
        <w:t>Modul de completare a raportului</w:t>
      </w:r>
    </w:p>
    <w:p w14:paraId="1686453D" w14:textId="77777777" w:rsidR="00C94BBE" w:rsidRPr="009F3ADA" w:rsidRDefault="006E05D1" w:rsidP="00C94BBE">
      <w:pPr>
        <w:spacing w:before="100" w:beforeAutospacing="1" w:after="100" w:afterAutospacing="1" w:line="240" w:lineRule="auto"/>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 C 34.06 – </w:t>
      </w:r>
      <w:r w:rsidR="00C94BBE" w:rsidRPr="009F3ADA">
        <w:rPr>
          <w:rFonts w:ascii="Times New Roman" w:eastAsia="Times New Roman" w:hAnsi="Times New Roman" w:cs="Times New Roman"/>
          <w:b/>
          <w:bCs/>
          <w:color w:val="000000"/>
          <w:sz w:val="27"/>
          <w:szCs w:val="27"/>
          <w:lang w:eastAsia="ro-MD"/>
        </w:rPr>
        <w:t>RISCUL DE CREDIT AL CONTRAPĂRȚII: PRIMELE DOUĂZECI DE CONTRAPĂRȚI (CCR 6)</w:t>
      </w:r>
    </w:p>
    <w:p w14:paraId="2D019106" w14:textId="1A13B999" w:rsidR="00F67ADA" w:rsidRPr="009F3ADA" w:rsidRDefault="00F67ADA" w:rsidP="006E05D1">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 xml:space="preserve">Instrucțiuni </w:t>
      </w:r>
      <w:r w:rsidRPr="009F3ADA">
        <w:rPr>
          <w:rFonts w:ascii="Times New Roman" w:eastAsia="Times New Roman" w:hAnsi="Times New Roman" w:cs="Times New Roman"/>
          <w:color w:val="000000"/>
          <w:sz w:val="24"/>
          <w:szCs w:val="24"/>
          <w:lang w:eastAsia="ro-MD"/>
        </w:rPr>
        <w:t>privind anumite poziții</w:t>
      </w:r>
    </w:p>
    <w:tbl>
      <w:tblPr>
        <w:tblStyle w:val="TableGrid"/>
        <w:tblW w:w="9443" w:type="dxa"/>
        <w:tblLook w:val="04A0" w:firstRow="1" w:lastRow="0" w:firstColumn="1" w:lastColumn="0" w:noHBand="0" w:noVBand="1"/>
      </w:tblPr>
      <w:tblGrid>
        <w:gridCol w:w="696"/>
        <w:gridCol w:w="7663"/>
        <w:gridCol w:w="1084"/>
      </w:tblGrid>
      <w:tr w:rsidR="00C3048D" w:rsidRPr="009F3ADA" w14:paraId="116F33D4" w14:textId="088E97A7" w:rsidTr="00C3048D">
        <w:tc>
          <w:tcPr>
            <w:tcW w:w="8359" w:type="dxa"/>
            <w:gridSpan w:val="2"/>
            <w:hideMark/>
          </w:tcPr>
          <w:p w14:paraId="5F49131D" w14:textId="77777777" w:rsidR="00C3048D" w:rsidRPr="009F3ADA" w:rsidRDefault="00C3048D" w:rsidP="006E05D1">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c>
          <w:tcPr>
            <w:tcW w:w="1084" w:type="dxa"/>
          </w:tcPr>
          <w:p w14:paraId="615C997D" w14:textId="77777777" w:rsidR="00C3048D" w:rsidRPr="009F3ADA" w:rsidRDefault="00C3048D" w:rsidP="006E05D1">
            <w:pPr>
              <w:spacing w:before="100" w:beforeAutospacing="1" w:after="100" w:afterAutospacing="1"/>
              <w:rPr>
                <w:rFonts w:ascii="Times New Roman" w:eastAsia="Times New Roman" w:hAnsi="Times New Roman" w:cs="Times New Roman"/>
                <w:b/>
                <w:bCs/>
                <w:sz w:val="24"/>
                <w:szCs w:val="24"/>
                <w:lang w:eastAsia="ro-MD"/>
              </w:rPr>
            </w:pPr>
          </w:p>
        </w:tc>
      </w:tr>
      <w:tr w:rsidR="00C3048D" w:rsidRPr="009F3ADA" w14:paraId="0F0C5F13" w14:textId="3879369D" w:rsidTr="00C3048D">
        <w:tc>
          <w:tcPr>
            <w:tcW w:w="0" w:type="auto"/>
            <w:hideMark/>
          </w:tcPr>
          <w:p w14:paraId="7223FBE4" w14:textId="0387470A"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w:t>
            </w:r>
          </w:p>
        </w:tc>
        <w:tc>
          <w:tcPr>
            <w:tcW w:w="7663" w:type="dxa"/>
            <w:hideMark/>
          </w:tcPr>
          <w:p w14:paraId="69835CA7"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DENUMIRE</w:t>
            </w:r>
          </w:p>
          <w:p w14:paraId="6F865233"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Denumirea </w:t>
            </w:r>
            <w:proofErr w:type="spellStart"/>
            <w:r w:rsidRPr="009F3ADA">
              <w:rPr>
                <w:rFonts w:ascii="Times New Roman" w:eastAsia="Times New Roman" w:hAnsi="Times New Roman" w:cs="Times New Roman"/>
                <w:sz w:val="24"/>
                <w:szCs w:val="24"/>
                <w:lang w:eastAsia="ro-MD"/>
              </w:rPr>
              <w:t>contrapărții</w:t>
            </w:r>
            <w:proofErr w:type="spellEnd"/>
          </w:p>
        </w:tc>
        <w:tc>
          <w:tcPr>
            <w:tcW w:w="1084" w:type="dxa"/>
          </w:tcPr>
          <w:p w14:paraId="1D30F596"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4430BEA7" w14:textId="7A4A3914" w:rsidTr="00C3048D">
        <w:tc>
          <w:tcPr>
            <w:tcW w:w="0" w:type="auto"/>
            <w:hideMark/>
          </w:tcPr>
          <w:p w14:paraId="68A808C8"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w:t>
            </w:r>
          </w:p>
        </w:tc>
        <w:tc>
          <w:tcPr>
            <w:tcW w:w="7663" w:type="dxa"/>
            <w:hideMark/>
          </w:tcPr>
          <w:p w14:paraId="1165D94B"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COD</w:t>
            </w:r>
          </w:p>
          <w:p w14:paraId="0B4DD6A9" w14:textId="3FB6D684"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Codul inclus în numărul de identificare a rândului trebuie să fie unic pentru fiecare entitate raportată. Pentru bănci și întreprinderi</w:t>
            </w:r>
            <w:r w:rsidR="00193491" w:rsidRPr="009F3ADA">
              <w:rPr>
                <w:rFonts w:ascii="Times New Roman" w:eastAsia="Times New Roman" w:hAnsi="Times New Roman" w:cs="Times New Roman"/>
                <w:sz w:val="24"/>
                <w:szCs w:val="24"/>
                <w:lang w:eastAsia="ro-MD"/>
              </w:rPr>
              <w:t>le</w:t>
            </w:r>
            <w:r w:rsidRPr="009F3ADA">
              <w:rPr>
                <w:rFonts w:ascii="Times New Roman" w:eastAsia="Times New Roman" w:hAnsi="Times New Roman" w:cs="Times New Roman"/>
                <w:sz w:val="24"/>
                <w:szCs w:val="24"/>
                <w:lang w:eastAsia="ro-MD"/>
              </w:rPr>
              <w:t xml:space="preserve"> de asigurare, codul care trebuie utilizat este codul LEI. Pentru alte entități, codul care trebuie utilizat este codul LEI sau, dacă acesta nu este disponibil, un alt cod decât codul LEI. Codul trebuie să fie unic și trebuie utilizat în mod consecvent în toate formularele și de-a lungul timpului. Valoarea codului nu poate fi nulă.</w:t>
            </w:r>
          </w:p>
        </w:tc>
        <w:tc>
          <w:tcPr>
            <w:tcW w:w="1084" w:type="dxa"/>
          </w:tcPr>
          <w:p w14:paraId="0C7CC04F"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44804A38" w14:textId="28EA5CE9" w:rsidTr="00C3048D">
        <w:tc>
          <w:tcPr>
            <w:tcW w:w="0" w:type="auto"/>
            <w:hideMark/>
          </w:tcPr>
          <w:p w14:paraId="1D0EDB6C"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w:t>
            </w:r>
          </w:p>
        </w:tc>
        <w:tc>
          <w:tcPr>
            <w:tcW w:w="7663" w:type="dxa"/>
            <w:hideMark/>
          </w:tcPr>
          <w:p w14:paraId="5E046E0A"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TIPUL DE COD</w:t>
            </w:r>
          </w:p>
          <w:p w14:paraId="6AFE4B20" w14:textId="651E6562"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Banca identifică tipul de cod raportat în coloana 0020, indicând „Codul LEI” sau „Alt cod decât codul LEI”.</w:t>
            </w:r>
          </w:p>
          <w:p w14:paraId="3894EE21" w14:textId="567CEF2D"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Se </w:t>
            </w:r>
            <w:r w:rsidR="00193491" w:rsidRPr="009F3ADA">
              <w:rPr>
                <w:rFonts w:ascii="Times New Roman" w:eastAsia="Times New Roman" w:hAnsi="Times New Roman" w:cs="Times New Roman"/>
                <w:sz w:val="24"/>
                <w:szCs w:val="24"/>
                <w:lang w:eastAsia="ro-MD"/>
              </w:rPr>
              <w:t xml:space="preserve">indică </w:t>
            </w:r>
            <w:r w:rsidR="00264DF7" w:rsidRPr="009F3ADA">
              <w:rPr>
                <w:rFonts w:ascii="Times New Roman" w:eastAsia="Times New Roman" w:hAnsi="Times New Roman" w:cs="Times New Roman"/>
                <w:sz w:val="24"/>
                <w:szCs w:val="24"/>
                <w:lang w:eastAsia="ro-MD"/>
              </w:rPr>
              <w:t>de fiecare dată</w:t>
            </w:r>
            <w:r w:rsidRPr="009F3ADA">
              <w:rPr>
                <w:rFonts w:ascii="Times New Roman" w:eastAsia="Times New Roman" w:hAnsi="Times New Roman" w:cs="Times New Roman"/>
                <w:sz w:val="24"/>
                <w:szCs w:val="24"/>
                <w:lang w:eastAsia="ro-MD"/>
              </w:rPr>
              <w:t xml:space="preserve"> tipul de cod.</w:t>
            </w:r>
          </w:p>
        </w:tc>
        <w:tc>
          <w:tcPr>
            <w:tcW w:w="1084" w:type="dxa"/>
          </w:tcPr>
          <w:p w14:paraId="41FB11B0"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1264921B" w14:textId="57E26BDF" w:rsidTr="00C3048D">
        <w:tc>
          <w:tcPr>
            <w:tcW w:w="0" w:type="auto"/>
            <w:hideMark/>
          </w:tcPr>
          <w:p w14:paraId="08AC2535"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0035</w:t>
            </w:r>
          </w:p>
        </w:tc>
        <w:tc>
          <w:tcPr>
            <w:tcW w:w="7663" w:type="dxa"/>
            <w:hideMark/>
          </w:tcPr>
          <w:p w14:paraId="4F1C1415"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CODUL NAȚIONAL</w:t>
            </w:r>
          </w:p>
          <w:p w14:paraId="033B3B74" w14:textId="11F087AA"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În plus, banca poate </w:t>
            </w:r>
            <w:r w:rsidR="00264DF7" w:rsidRPr="009F3ADA">
              <w:rPr>
                <w:rFonts w:ascii="Times New Roman" w:eastAsia="Times New Roman" w:hAnsi="Times New Roman" w:cs="Times New Roman"/>
                <w:sz w:val="24"/>
                <w:szCs w:val="24"/>
                <w:lang w:eastAsia="ro-MD"/>
              </w:rPr>
              <w:t xml:space="preserve">indica </w:t>
            </w:r>
            <w:r w:rsidRPr="009F3ADA">
              <w:rPr>
                <w:rFonts w:ascii="Times New Roman" w:eastAsia="Times New Roman" w:hAnsi="Times New Roman" w:cs="Times New Roman"/>
                <w:sz w:val="24"/>
                <w:szCs w:val="24"/>
                <w:lang w:eastAsia="ro-MD"/>
              </w:rPr>
              <w:t>codul național atunci când raportează codul LEI ca identificator în coloana 0020 - „Cod”.</w:t>
            </w:r>
          </w:p>
        </w:tc>
        <w:tc>
          <w:tcPr>
            <w:tcW w:w="1084" w:type="dxa"/>
          </w:tcPr>
          <w:p w14:paraId="2451292C"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37583C92" w14:textId="58A54AAF" w:rsidTr="00C3048D">
        <w:tc>
          <w:tcPr>
            <w:tcW w:w="0" w:type="auto"/>
            <w:hideMark/>
          </w:tcPr>
          <w:p w14:paraId="3745DBCB"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0040</w:t>
            </w:r>
          </w:p>
        </w:tc>
        <w:tc>
          <w:tcPr>
            <w:tcW w:w="7663" w:type="dxa"/>
            <w:hideMark/>
          </w:tcPr>
          <w:p w14:paraId="0E0DDE41"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SECTORUL CONTRAPĂRȚII</w:t>
            </w:r>
          </w:p>
          <w:p w14:paraId="45141F7B" w14:textId="372D1CFD"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Pentru fiecare </w:t>
            </w: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 xml:space="preserve"> se alege un sector pe baza următoarelor clase ale sectoarelor economice din cadrul FINREP:</w:t>
            </w:r>
          </w:p>
          <w:p w14:paraId="3008908B"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(i)  bănci centrale;</w:t>
            </w:r>
          </w:p>
          <w:p w14:paraId="539DFCB0"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(ii)  administrații publice;</w:t>
            </w:r>
          </w:p>
          <w:p w14:paraId="6EF3BDC2" w14:textId="539130F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(iii)  bănci;</w:t>
            </w:r>
          </w:p>
          <w:p w14:paraId="17C3A2CE" w14:textId="312C1AAE"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(iv)  societate de investiții, astfel cum este definită în Legea nr.171/2012 privind piața de capital; </w:t>
            </w:r>
          </w:p>
          <w:p w14:paraId="47497EE5" w14:textId="67F68889"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  alte societăți financiare (excluzând societățile de investiții);</w:t>
            </w:r>
          </w:p>
          <w:p w14:paraId="6995EAA9"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(vi)  societăți nefinanciare.</w:t>
            </w:r>
          </w:p>
        </w:tc>
        <w:tc>
          <w:tcPr>
            <w:tcW w:w="1084" w:type="dxa"/>
          </w:tcPr>
          <w:p w14:paraId="582F0346"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0C3E6E0D" w14:textId="1E9D7D42" w:rsidTr="00C3048D">
        <w:tc>
          <w:tcPr>
            <w:tcW w:w="0" w:type="auto"/>
            <w:hideMark/>
          </w:tcPr>
          <w:p w14:paraId="4F188B73"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0050</w:t>
            </w:r>
          </w:p>
        </w:tc>
        <w:tc>
          <w:tcPr>
            <w:tcW w:w="7663" w:type="dxa"/>
            <w:hideMark/>
          </w:tcPr>
          <w:p w14:paraId="7BAA8F85"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TIPUL DE CONTRAPARTE</w:t>
            </w:r>
          </w:p>
          <w:p w14:paraId="5950CBDD" w14:textId="1E33AD81"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 xml:space="preserve">Banca indică tipul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și anume:</w:t>
            </w:r>
          </w:p>
          <w:p w14:paraId="0BA9C284" w14:textId="77777777" w:rsidR="00C3048D" w:rsidRPr="009F3ADA" w:rsidRDefault="00C3048D" w:rsidP="006E05D1">
            <w:pPr>
              <w:spacing w:before="100" w:beforeAutospacing="1" w:after="100" w:afterAutospacing="1"/>
              <w:ind w:hanging="240"/>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 CPCC: atunci când </w:t>
            </w:r>
            <w:proofErr w:type="spellStart"/>
            <w:r w:rsidRPr="009F3ADA">
              <w:rPr>
                <w:rFonts w:ascii="Times New Roman" w:eastAsia="Times New Roman" w:hAnsi="Times New Roman" w:cs="Times New Roman"/>
                <w:sz w:val="24"/>
                <w:szCs w:val="24"/>
                <w:lang w:eastAsia="ro-MD"/>
              </w:rPr>
              <w:t>contrapartea</w:t>
            </w:r>
            <w:proofErr w:type="spellEnd"/>
            <w:r w:rsidRPr="009F3ADA">
              <w:rPr>
                <w:rFonts w:ascii="Times New Roman" w:eastAsia="Times New Roman" w:hAnsi="Times New Roman" w:cs="Times New Roman"/>
                <w:sz w:val="24"/>
                <w:szCs w:val="24"/>
                <w:lang w:eastAsia="ro-MD"/>
              </w:rPr>
              <w:t xml:space="preserve"> este o CPC calificată;</w:t>
            </w:r>
          </w:p>
          <w:p w14:paraId="0A9804A5" w14:textId="77777777" w:rsidR="00C3048D" w:rsidRPr="009F3ADA" w:rsidRDefault="00C3048D" w:rsidP="006E05D1">
            <w:pPr>
              <w:spacing w:before="100" w:beforeAutospacing="1" w:after="100" w:afterAutospacing="1"/>
              <w:ind w:hanging="240"/>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 NON-CPCC: atunci când </w:t>
            </w:r>
            <w:proofErr w:type="spellStart"/>
            <w:r w:rsidRPr="009F3ADA">
              <w:rPr>
                <w:rFonts w:ascii="Times New Roman" w:eastAsia="Times New Roman" w:hAnsi="Times New Roman" w:cs="Times New Roman"/>
                <w:sz w:val="24"/>
                <w:szCs w:val="24"/>
                <w:lang w:eastAsia="ro-MD"/>
              </w:rPr>
              <w:t>contrapartea</w:t>
            </w:r>
            <w:proofErr w:type="spellEnd"/>
            <w:r w:rsidRPr="009F3ADA">
              <w:rPr>
                <w:rFonts w:ascii="Times New Roman" w:eastAsia="Times New Roman" w:hAnsi="Times New Roman" w:cs="Times New Roman"/>
                <w:sz w:val="24"/>
                <w:szCs w:val="24"/>
                <w:lang w:eastAsia="ro-MD"/>
              </w:rPr>
              <w:t xml:space="preserve"> este o CPC necalificată;</w:t>
            </w:r>
          </w:p>
          <w:p w14:paraId="04F6D462" w14:textId="77777777" w:rsidR="00C3048D" w:rsidRPr="009F3ADA" w:rsidRDefault="00C3048D" w:rsidP="006E05D1">
            <w:pPr>
              <w:spacing w:before="100" w:beforeAutospacing="1" w:after="100" w:afterAutospacing="1"/>
              <w:ind w:hanging="240"/>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 nu este CPC: atunci când </w:t>
            </w:r>
            <w:proofErr w:type="spellStart"/>
            <w:r w:rsidRPr="009F3ADA">
              <w:rPr>
                <w:rFonts w:ascii="Times New Roman" w:eastAsia="Times New Roman" w:hAnsi="Times New Roman" w:cs="Times New Roman"/>
                <w:sz w:val="24"/>
                <w:szCs w:val="24"/>
                <w:lang w:eastAsia="ro-MD"/>
              </w:rPr>
              <w:t>contrapartea</w:t>
            </w:r>
            <w:proofErr w:type="spellEnd"/>
            <w:r w:rsidRPr="009F3ADA">
              <w:rPr>
                <w:rFonts w:ascii="Times New Roman" w:eastAsia="Times New Roman" w:hAnsi="Times New Roman" w:cs="Times New Roman"/>
                <w:sz w:val="24"/>
                <w:szCs w:val="24"/>
                <w:lang w:eastAsia="ro-MD"/>
              </w:rPr>
              <w:t xml:space="preserve"> nu este o CPC.</w:t>
            </w:r>
          </w:p>
        </w:tc>
        <w:tc>
          <w:tcPr>
            <w:tcW w:w="1084" w:type="dxa"/>
          </w:tcPr>
          <w:p w14:paraId="1ADB04E0"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6FADBF57" w14:textId="5F56CC2E" w:rsidTr="00C3048D">
        <w:tc>
          <w:tcPr>
            <w:tcW w:w="0" w:type="auto"/>
            <w:hideMark/>
          </w:tcPr>
          <w:p w14:paraId="52108FE9"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0060</w:t>
            </w:r>
          </w:p>
        </w:tc>
        <w:tc>
          <w:tcPr>
            <w:tcW w:w="7663" w:type="dxa"/>
            <w:hideMark/>
          </w:tcPr>
          <w:p w14:paraId="606DB768"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REȘEDINȚA CONTRAPĂRȚII</w:t>
            </w:r>
          </w:p>
          <w:p w14:paraId="6C2201D8"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Se utilizează codul ISO 3166-1-alpha-2 al țării de înregistrare a </w:t>
            </w:r>
            <w:proofErr w:type="spellStart"/>
            <w:r w:rsidRPr="009F3ADA">
              <w:rPr>
                <w:rFonts w:ascii="Times New Roman" w:eastAsia="Times New Roman" w:hAnsi="Times New Roman" w:cs="Times New Roman"/>
                <w:sz w:val="24"/>
                <w:szCs w:val="24"/>
                <w:lang w:eastAsia="ro-MD"/>
              </w:rPr>
              <w:t>contrapărții</w:t>
            </w:r>
            <w:proofErr w:type="spellEnd"/>
            <w:r w:rsidRPr="009F3ADA">
              <w:rPr>
                <w:rFonts w:ascii="Times New Roman" w:eastAsia="Times New Roman" w:hAnsi="Times New Roman" w:cs="Times New Roman"/>
                <w:sz w:val="24"/>
                <w:szCs w:val="24"/>
                <w:lang w:eastAsia="ro-MD"/>
              </w:rPr>
              <w:t xml:space="preserve"> [inclusiv codurile pseudo-ISO pentru organizații internaționale disponibile în „Vademecumul balanței de plăți” (</w:t>
            </w:r>
            <w:proofErr w:type="spellStart"/>
            <w:r w:rsidRPr="009F3ADA">
              <w:rPr>
                <w:rFonts w:ascii="Times New Roman" w:eastAsia="Times New Roman" w:hAnsi="Times New Roman" w:cs="Times New Roman"/>
                <w:sz w:val="24"/>
                <w:szCs w:val="24"/>
                <w:lang w:eastAsia="ro-MD"/>
              </w:rPr>
              <w:t>Balance</w:t>
            </w:r>
            <w:proofErr w:type="spellEnd"/>
            <w:r w:rsidRPr="009F3ADA">
              <w:rPr>
                <w:rFonts w:ascii="Times New Roman" w:eastAsia="Times New Roman" w:hAnsi="Times New Roman" w:cs="Times New Roman"/>
                <w:sz w:val="24"/>
                <w:szCs w:val="24"/>
                <w:lang w:eastAsia="ro-MD"/>
              </w:rPr>
              <w:t xml:space="preserve"> of </w:t>
            </w:r>
            <w:proofErr w:type="spellStart"/>
            <w:r w:rsidRPr="009F3ADA">
              <w:rPr>
                <w:rFonts w:ascii="Times New Roman" w:eastAsia="Times New Roman" w:hAnsi="Times New Roman" w:cs="Times New Roman"/>
                <w:sz w:val="24"/>
                <w:szCs w:val="24"/>
                <w:lang w:eastAsia="ro-MD"/>
              </w:rPr>
              <w:t>Payments</w:t>
            </w:r>
            <w:proofErr w:type="spellEnd"/>
            <w:r w:rsidRPr="009F3ADA">
              <w:rPr>
                <w:rFonts w:ascii="Times New Roman" w:eastAsia="Times New Roman" w:hAnsi="Times New Roman" w:cs="Times New Roman"/>
                <w:sz w:val="24"/>
                <w:szCs w:val="24"/>
                <w:lang w:eastAsia="ro-MD"/>
              </w:rPr>
              <w:t xml:space="preserve"> Vademecum) publicat de </w:t>
            </w:r>
            <w:proofErr w:type="spellStart"/>
            <w:r w:rsidRPr="009F3ADA">
              <w:rPr>
                <w:rFonts w:ascii="Times New Roman" w:eastAsia="Times New Roman" w:hAnsi="Times New Roman" w:cs="Times New Roman"/>
                <w:sz w:val="24"/>
                <w:szCs w:val="24"/>
                <w:lang w:eastAsia="ro-MD"/>
              </w:rPr>
              <w:t>Eurostat</w:t>
            </w:r>
            <w:proofErr w:type="spellEnd"/>
            <w:r w:rsidRPr="009F3ADA">
              <w:rPr>
                <w:rFonts w:ascii="Times New Roman" w:eastAsia="Times New Roman" w:hAnsi="Times New Roman" w:cs="Times New Roman"/>
                <w:sz w:val="24"/>
                <w:szCs w:val="24"/>
                <w:lang w:eastAsia="ro-MD"/>
              </w:rPr>
              <w:t>, astfel cum a fost modificat)].</w:t>
            </w:r>
          </w:p>
        </w:tc>
        <w:tc>
          <w:tcPr>
            <w:tcW w:w="1084" w:type="dxa"/>
          </w:tcPr>
          <w:p w14:paraId="1FE3F381"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523F3CF6" w14:textId="070159D5" w:rsidTr="00C3048D">
        <w:tc>
          <w:tcPr>
            <w:tcW w:w="0" w:type="auto"/>
            <w:hideMark/>
          </w:tcPr>
          <w:p w14:paraId="779260D1"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0070</w:t>
            </w:r>
          </w:p>
        </w:tc>
        <w:tc>
          <w:tcPr>
            <w:tcW w:w="7663" w:type="dxa"/>
            <w:hideMark/>
          </w:tcPr>
          <w:p w14:paraId="459927A3"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NUMĂRUL DE TRANZACȚII</w:t>
            </w:r>
          </w:p>
          <w:p w14:paraId="1F927FD8"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0020 din formularul C 34.02.</w:t>
            </w:r>
          </w:p>
        </w:tc>
        <w:tc>
          <w:tcPr>
            <w:tcW w:w="1084" w:type="dxa"/>
          </w:tcPr>
          <w:p w14:paraId="59DFFC2C"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40B5EAC0" w14:textId="00D9FBE1" w:rsidTr="00C3048D">
        <w:tc>
          <w:tcPr>
            <w:tcW w:w="0" w:type="auto"/>
            <w:hideMark/>
          </w:tcPr>
          <w:p w14:paraId="5F128BBF"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0080</w:t>
            </w:r>
          </w:p>
        </w:tc>
        <w:tc>
          <w:tcPr>
            <w:tcW w:w="7663" w:type="dxa"/>
            <w:hideMark/>
          </w:tcPr>
          <w:p w14:paraId="781D5E5D"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 NOȚIONALE </w:t>
            </w:r>
          </w:p>
          <w:p w14:paraId="2F21DA06" w14:textId="31F7524F"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0030 din formularul C 34.02.</w:t>
            </w:r>
          </w:p>
        </w:tc>
        <w:tc>
          <w:tcPr>
            <w:tcW w:w="1084" w:type="dxa"/>
          </w:tcPr>
          <w:p w14:paraId="45A09CB0"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392F55B6" w14:textId="3DA7DD63" w:rsidTr="00C3048D">
        <w:tc>
          <w:tcPr>
            <w:tcW w:w="0" w:type="auto"/>
            <w:hideMark/>
          </w:tcPr>
          <w:p w14:paraId="1DFBA809"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0090</w:t>
            </w:r>
          </w:p>
        </w:tc>
        <w:tc>
          <w:tcPr>
            <w:tcW w:w="7663" w:type="dxa"/>
            <w:hideMark/>
          </w:tcPr>
          <w:p w14:paraId="5A6A2467"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pozitivă</w:t>
            </w:r>
          </w:p>
          <w:p w14:paraId="35037A08"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0040 din formularul C 34.02.</w:t>
            </w:r>
          </w:p>
          <w:p w14:paraId="616D4CFC" w14:textId="07D8A10A"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Banca raportează suma seturilor de compensare cu CMV pozitivă dacă există mai multe seturi de compensare pentru aceeași </w:t>
            </w: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w:t>
            </w:r>
          </w:p>
        </w:tc>
        <w:tc>
          <w:tcPr>
            <w:tcW w:w="1084" w:type="dxa"/>
          </w:tcPr>
          <w:p w14:paraId="6BE4EEE9"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0781944C" w14:textId="48AE5994" w:rsidTr="00C3048D">
        <w:tc>
          <w:tcPr>
            <w:tcW w:w="0" w:type="auto"/>
            <w:hideMark/>
          </w:tcPr>
          <w:p w14:paraId="67F7EBC0"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0100</w:t>
            </w:r>
          </w:p>
        </w:tc>
        <w:tc>
          <w:tcPr>
            <w:tcW w:w="7663" w:type="dxa"/>
            <w:hideMark/>
          </w:tcPr>
          <w:p w14:paraId="2D1C0D47"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DE PIAȚĂ CURENTĂ (CMV) – negativă</w:t>
            </w:r>
          </w:p>
          <w:p w14:paraId="28361F2E"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0040 din formularul C 34.02.</w:t>
            </w:r>
          </w:p>
          <w:p w14:paraId="3F56FF01" w14:textId="56BF344D"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Banca raportează suma absolută a seturilor de compensare cu CMV negativă dacă există mai multe seturi de compensare pentru aceeași </w:t>
            </w: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w:t>
            </w:r>
          </w:p>
        </w:tc>
        <w:tc>
          <w:tcPr>
            <w:tcW w:w="1084" w:type="dxa"/>
          </w:tcPr>
          <w:p w14:paraId="63AF6332"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5E1719A2" w14:textId="5A7D6C99" w:rsidTr="00C3048D">
        <w:tc>
          <w:tcPr>
            <w:tcW w:w="0" w:type="auto"/>
            <w:hideMark/>
          </w:tcPr>
          <w:p w14:paraId="1122CD4D"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0110</w:t>
            </w:r>
          </w:p>
        </w:tc>
        <w:tc>
          <w:tcPr>
            <w:tcW w:w="7663" w:type="dxa"/>
            <w:hideMark/>
          </w:tcPr>
          <w:p w14:paraId="234D0DCC" w14:textId="1E947455" w:rsidR="00C3048D" w:rsidRPr="009F3ADA" w:rsidRDefault="00C3048D" w:rsidP="006E05D1">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sz w:val="24"/>
                <w:szCs w:val="24"/>
                <w:lang w:eastAsia="ro-MD"/>
              </w:rPr>
              <w:t>VALOAREA EXPUNERII DUPĂ APLICAREA TEHNICILOR CRM</w:t>
            </w:r>
            <w:r w:rsidRPr="009F3ADA">
              <w:rPr>
                <w:rFonts w:ascii="Times New Roman" w:eastAsia="Times New Roman" w:hAnsi="Times New Roman" w:cs="Times New Roman"/>
                <w:b/>
                <w:bCs/>
                <w:sz w:val="24"/>
                <w:szCs w:val="24"/>
                <w:lang w:eastAsia="ro-MD"/>
              </w:rPr>
              <w:t xml:space="preserve"> </w:t>
            </w:r>
          </w:p>
        </w:tc>
        <w:tc>
          <w:tcPr>
            <w:tcW w:w="1084" w:type="dxa"/>
          </w:tcPr>
          <w:p w14:paraId="18BC17F4" w14:textId="55885019"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blocat</w:t>
            </w:r>
          </w:p>
        </w:tc>
      </w:tr>
      <w:tr w:rsidR="00C3048D" w:rsidRPr="009F3ADA" w14:paraId="3818355E" w14:textId="02EFB47A" w:rsidTr="00C3048D">
        <w:tc>
          <w:tcPr>
            <w:tcW w:w="0" w:type="auto"/>
            <w:hideMark/>
          </w:tcPr>
          <w:p w14:paraId="373F437A"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0120</w:t>
            </w:r>
          </w:p>
        </w:tc>
        <w:tc>
          <w:tcPr>
            <w:tcW w:w="7663" w:type="dxa"/>
            <w:hideMark/>
          </w:tcPr>
          <w:p w14:paraId="110C812E"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EXPUNERII</w:t>
            </w:r>
          </w:p>
          <w:p w14:paraId="27C47DBB"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0170 din formularul C 34.02.</w:t>
            </w:r>
          </w:p>
        </w:tc>
        <w:tc>
          <w:tcPr>
            <w:tcW w:w="1084" w:type="dxa"/>
          </w:tcPr>
          <w:p w14:paraId="40EB4EB6"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r w:rsidR="00C3048D" w:rsidRPr="009F3ADA" w14:paraId="08757DC8" w14:textId="1E378446" w:rsidTr="00C3048D">
        <w:tc>
          <w:tcPr>
            <w:tcW w:w="0" w:type="auto"/>
            <w:hideMark/>
          </w:tcPr>
          <w:p w14:paraId="13C4271A"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0130</w:t>
            </w:r>
          </w:p>
        </w:tc>
        <w:tc>
          <w:tcPr>
            <w:tcW w:w="7663" w:type="dxa"/>
            <w:hideMark/>
          </w:tcPr>
          <w:p w14:paraId="671CBCA7"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CUANTUMURILE PONDERATE LA RISC ALE EXPUNERILOR</w:t>
            </w:r>
          </w:p>
          <w:p w14:paraId="547E32F3"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coloana 0200 din formularul C 34.02.</w:t>
            </w:r>
          </w:p>
        </w:tc>
        <w:tc>
          <w:tcPr>
            <w:tcW w:w="1084" w:type="dxa"/>
          </w:tcPr>
          <w:p w14:paraId="52DA27FA" w14:textId="77777777" w:rsidR="00C3048D" w:rsidRPr="009F3ADA" w:rsidRDefault="00C3048D" w:rsidP="006E05D1">
            <w:pPr>
              <w:spacing w:before="100" w:beforeAutospacing="1" w:after="100" w:afterAutospacing="1"/>
              <w:rPr>
                <w:rFonts w:ascii="Times New Roman" w:eastAsia="Times New Roman" w:hAnsi="Times New Roman" w:cs="Times New Roman"/>
                <w:sz w:val="24"/>
                <w:szCs w:val="24"/>
                <w:lang w:eastAsia="ro-MD"/>
              </w:rPr>
            </w:pPr>
          </w:p>
        </w:tc>
      </w:tr>
    </w:tbl>
    <w:p w14:paraId="155BBC73" w14:textId="77777777" w:rsidR="006E05D1" w:rsidRPr="009F3ADA" w:rsidRDefault="006E05D1"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F1295BB" w14:textId="77777777" w:rsidR="00101854" w:rsidRPr="009F3ADA" w:rsidRDefault="001018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60297A8" w14:textId="77777777" w:rsidR="00101854" w:rsidRPr="009F3ADA" w:rsidRDefault="001018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28AC137" w14:textId="77777777" w:rsidR="00CA5AC2" w:rsidRPr="009F3ADA" w:rsidRDefault="00CA5AC2"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856C144" w14:textId="77777777" w:rsidR="00CA5AC2" w:rsidRPr="009F3ADA" w:rsidRDefault="00CA5AC2"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55407768" w14:textId="77777777" w:rsidR="003A0695" w:rsidRPr="009F3ADA" w:rsidRDefault="003A0695" w:rsidP="005173A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Calibri" w:hAnsi="Times New Roman" w:cs="Times New Roman"/>
          <w:b/>
          <w:sz w:val="24"/>
          <w:szCs w:val="24"/>
          <w:lang w:val="it-CH"/>
        </w:rPr>
        <w:lastRenderedPageBreak/>
        <w:t xml:space="preserve">PREZENTAREA GENERALĂ A </w:t>
      </w:r>
      <w:r w:rsidRPr="009F3ADA">
        <w:rPr>
          <w:rFonts w:ascii="Times New Roman" w:eastAsia="Times New Roman" w:hAnsi="Times New Roman" w:cs="Times New Roman"/>
          <w:b/>
          <w:bCs/>
          <w:sz w:val="24"/>
          <w:szCs w:val="24"/>
          <w:lang w:eastAsia="ro-MD"/>
        </w:rPr>
        <w:t xml:space="preserve">RAPORTĂRII PRIVIND RISCUL DE CREDIT AL CONTRAPĂRȚII: </w:t>
      </w:r>
      <w:r w:rsidRPr="009F3ADA">
        <w:rPr>
          <w:rFonts w:ascii="Times New Roman" w:eastAsia="Times New Roman" w:hAnsi="Times New Roman" w:cs="Times New Roman"/>
          <w:b/>
          <w:bCs/>
          <w:color w:val="000000"/>
          <w:sz w:val="27"/>
          <w:szCs w:val="27"/>
          <w:lang w:eastAsia="ro-MD"/>
        </w:rPr>
        <w:t xml:space="preserve">Compoziția garanțiilor reale pentru expunerile la riscul de credit al </w:t>
      </w:r>
      <w:proofErr w:type="spellStart"/>
      <w:r w:rsidRPr="009F3ADA">
        <w:rPr>
          <w:rFonts w:ascii="Times New Roman" w:eastAsia="Times New Roman" w:hAnsi="Times New Roman" w:cs="Times New Roman"/>
          <w:b/>
          <w:bCs/>
          <w:color w:val="000000"/>
          <w:sz w:val="27"/>
          <w:szCs w:val="27"/>
          <w:lang w:eastAsia="ro-MD"/>
        </w:rPr>
        <w:t>contrapărții</w:t>
      </w:r>
      <w:proofErr w:type="spellEnd"/>
    </w:p>
    <w:p w14:paraId="2741DAB5" w14:textId="509C47B5" w:rsidR="003A0695" w:rsidRPr="009F3ADA" w:rsidRDefault="003A0695" w:rsidP="005173A5">
      <w:pPr>
        <w:spacing w:before="100" w:beforeAutospacing="1" w:after="100" w:afterAutospacing="1" w:line="240" w:lineRule="auto"/>
        <w:jc w:val="both"/>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 xml:space="preserve">Acest formular se completează cu valorile juste ale garanțiilor reale (furnizate sau primite) utilizate în expunerile la riscul de credit al </w:t>
      </w:r>
      <w:proofErr w:type="spellStart"/>
      <w:r w:rsidRPr="009F3ADA">
        <w:rPr>
          <w:rFonts w:ascii="Times New Roman" w:eastAsia="Times New Roman" w:hAnsi="Times New Roman" w:cs="Times New Roman"/>
          <w:color w:val="000000"/>
          <w:sz w:val="27"/>
          <w:szCs w:val="27"/>
          <w:lang w:eastAsia="ro-MD"/>
        </w:rPr>
        <w:t>contrapărții</w:t>
      </w:r>
      <w:proofErr w:type="spellEnd"/>
      <w:r w:rsidRPr="009F3ADA">
        <w:rPr>
          <w:rFonts w:ascii="Times New Roman" w:eastAsia="Times New Roman" w:hAnsi="Times New Roman" w:cs="Times New Roman"/>
          <w:color w:val="000000"/>
          <w:sz w:val="27"/>
          <w:szCs w:val="27"/>
          <w:lang w:eastAsia="ro-MD"/>
        </w:rPr>
        <w:t xml:space="preserve"> aferente tranzacțiilor cu instrumente financiare derivate, tranzacțiilor cu termen lung de decontare sau SFT-urilor, indiferent dacă tranzacțiile respective sunt compensate sau nu printr-o CPC și indiferent dacă garanțiile reale sunt furnizate sau nu unei CPC.</w:t>
      </w:r>
    </w:p>
    <w:p w14:paraId="03B1EBF4" w14:textId="77777777" w:rsidR="00E61F0F" w:rsidRPr="009F3ADA" w:rsidRDefault="00E61F0F"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D04BCD5" w14:textId="77777777" w:rsidR="003A0695" w:rsidRPr="009F3ADA" w:rsidRDefault="003A0695"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1BA56CB" w14:textId="77777777" w:rsidR="003A0695" w:rsidRPr="009F3ADA" w:rsidRDefault="003A0695"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5F19338" w14:textId="77777777" w:rsidR="003A0695" w:rsidRPr="009F3ADA" w:rsidRDefault="003A0695"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7391004" w14:textId="77777777" w:rsidR="003A0695" w:rsidRPr="009F3ADA" w:rsidRDefault="003A0695"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D4827C8" w14:textId="77777777" w:rsidR="003A0695" w:rsidRPr="009F3ADA" w:rsidRDefault="003A0695" w:rsidP="00E61F0F">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4D3BAAA" w14:textId="77777777"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3A0695" w:rsidRPr="009F3ADA" w:rsidSect="00E61F0F">
          <w:pgSz w:w="11906" w:h="16838" w:code="9"/>
          <w:pgMar w:top="1134" w:right="851" w:bottom="1134" w:left="1701" w:header="709" w:footer="709" w:gutter="0"/>
          <w:cols w:space="708"/>
          <w:docGrid w:linePitch="360"/>
        </w:sectPr>
      </w:pPr>
    </w:p>
    <w:p w14:paraId="789ACB6F" w14:textId="04105404" w:rsidR="001102FE" w:rsidRPr="009F3ADA" w:rsidRDefault="00FE43B4" w:rsidP="003A06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lastRenderedPageBreak/>
        <w:t>Formularul</w:t>
      </w:r>
      <w:r w:rsidR="003A0695" w:rsidRPr="009F3ADA">
        <w:rPr>
          <w:rFonts w:ascii="Times New Roman" w:eastAsia="Times New Roman" w:hAnsi="Times New Roman" w:cs="Times New Roman"/>
          <w:b/>
          <w:bCs/>
          <w:color w:val="000000"/>
          <w:sz w:val="27"/>
          <w:szCs w:val="27"/>
          <w:lang w:eastAsia="ro-MD"/>
        </w:rPr>
        <w:t xml:space="preserve"> raportului</w:t>
      </w:r>
    </w:p>
    <w:p w14:paraId="657B6845" w14:textId="77777777" w:rsidR="001102FE" w:rsidRPr="009F3ADA" w:rsidRDefault="001102FE" w:rsidP="003A06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34.08 </w:t>
      </w:r>
      <w:bookmarkStart w:id="20" w:name="_Hlk202276716"/>
      <w:r w:rsidRPr="009F3ADA">
        <w:rPr>
          <w:rFonts w:ascii="Times New Roman" w:eastAsia="Times New Roman" w:hAnsi="Times New Roman" w:cs="Times New Roman"/>
          <w:b/>
          <w:bCs/>
          <w:color w:val="000000"/>
          <w:sz w:val="27"/>
          <w:szCs w:val="27"/>
          <w:lang w:eastAsia="ro-MD"/>
        </w:rPr>
        <w:t>RISCUL DE CREDIT AL CONTRAPĂRȚII: COMPOZIȚIA GARANȚIILOR REALE PENTRU EXPUNERI LA CCR (CCR 8)</w:t>
      </w:r>
    </w:p>
    <w:tbl>
      <w:tblPr>
        <w:tblStyle w:val="TableGrid"/>
        <w:tblW w:w="15163" w:type="dxa"/>
        <w:tblLook w:val="04A0" w:firstRow="1" w:lastRow="0" w:firstColumn="1" w:lastColumn="0" w:noHBand="0" w:noVBand="1"/>
      </w:tblPr>
      <w:tblGrid>
        <w:gridCol w:w="577"/>
        <w:gridCol w:w="1851"/>
        <w:gridCol w:w="700"/>
        <w:gridCol w:w="689"/>
        <w:gridCol w:w="811"/>
        <w:gridCol w:w="757"/>
        <w:gridCol w:w="710"/>
        <w:gridCol w:w="701"/>
        <w:gridCol w:w="822"/>
        <w:gridCol w:w="768"/>
        <w:gridCol w:w="657"/>
        <w:gridCol w:w="648"/>
        <w:gridCol w:w="623"/>
        <w:gridCol w:w="633"/>
        <w:gridCol w:w="633"/>
        <w:gridCol w:w="611"/>
        <w:gridCol w:w="601"/>
        <w:gridCol w:w="587"/>
        <w:gridCol w:w="587"/>
        <w:gridCol w:w="1197"/>
      </w:tblGrid>
      <w:tr w:rsidR="003A0695" w:rsidRPr="009F3ADA" w14:paraId="12844654" w14:textId="77777777" w:rsidTr="005A76C6">
        <w:trPr>
          <w:trHeight w:val="606"/>
        </w:trPr>
        <w:tc>
          <w:tcPr>
            <w:tcW w:w="0" w:type="auto"/>
            <w:gridSpan w:val="2"/>
            <w:vMerge w:val="restart"/>
            <w:hideMark/>
          </w:tcPr>
          <w:bookmarkEnd w:id="20"/>
          <w:p w14:paraId="4A5BFE26" w14:textId="237A92C2"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TIPUL DE GARANȚIE REALĂ</w:t>
            </w:r>
          </w:p>
        </w:tc>
        <w:tc>
          <w:tcPr>
            <w:tcW w:w="0" w:type="auto"/>
            <w:gridSpan w:val="8"/>
            <w:hideMark/>
          </w:tcPr>
          <w:p w14:paraId="4631E4E6" w14:textId="324DEC32"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GARANȚII REALE UTILIZATE ÎN TRANZACȚII CU INSTRUMENTE FINANCIARE DERIVATE</w:t>
            </w:r>
          </w:p>
        </w:tc>
        <w:tc>
          <w:tcPr>
            <w:tcW w:w="6857" w:type="dxa"/>
            <w:gridSpan w:val="10"/>
            <w:hideMark/>
          </w:tcPr>
          <w:p w14:paraId="03273761" w14:textId="10FF6985"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GARANȚII REALE UTILIZATE ÎN SFT</w:t>
            </w:r>
          </w:p>
        </w:tc>
      </w:tr>
      <w:tr w:rsidR="00E61F0F" w:rsidRPr="009F3ADA" w14:paraId="65111DB8" w14:textId="77777777" w:rsidTr="005A76C6">
        <w:trPr>
          <w:trHeight w:val="145"/>
        </w:trPr>
        <w:tc>
          <w:tcPr>
            <w:tcW w:w="0" w:type="auto"/>
            <w:gridSpan w:val="2"/>
            <w:vMerge/>
            <w:hideMark/>
          </w:tcPr>
          <w:p w14:paraId="778ABFEF" w14:textId="77777777" w:rsidR="001102FE" w:rsidRPr="009F3ADA" w:rsidRDefault="001102FE" w:rsidP="001102FE">
            <w:pPr>
              <w:rPr>
                <w:rFonts w:ascii="Times New Roman" w:eastAsia="Times New Roman" w:hAnsi="Times New Roman" w:cs="Times New Roman"/>
                <w:b/>
                <w:bCs/>
                <w:sz w:val="16"/>
                <w:szCs w:val="16"/>
                <w:lang w:eastAsia="ro-MD"/>
              </w:rPr>
            </w:pPr>
          </w:p>
        </w:tc>
        <w:tc>
          <w:tcPr>
            <w:tcW w:w="0" w:type="auto"/>
            <w:gridSpan w:val="4"/>
            <w:hideMark/>
          </w:tcPr>
          <w:p w14:paraId="20F2263E" w14:textId="0EA0E3EC"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VALOAREA JUSTĂ A GARANȚIILOR REALE PRIMITE</w:t>
            </w:r>
          </w:p>
        </w:tc>
        <w:tc>
          <w:tcPr>
            <w:tcW w:w="0" w:type="auto"/>
            <w:gridSpan w:val="4"/>
            <w:hideMark/>
          </w:tcPr>
          <w:p w14:paraId="04B1DA17" w14:textId="3D95E153"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VALOAREA JUSTĂ A GARANȚIILOR REALE FURNIZATE</w:t>
            </w:r>
          </w:p>
        </w:tc>
        <w:tc>
          <w:tcPr>
            <w:tcW w:w="0" w:type="auto"/>
            <w:gridSpan w:val="5"/>
            <w:hideMark/>
          </w:tcPr>
          <w:p w14:paraId="3608555C" w14:textId="16C93B84"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VALOAREA JUSTĂ A GARANȚIILOR REALE PRIMITE</w:t>
            </w:r>
          </w:p>
        </w:tc>
        <w:tc>
          <w:tcPr>
            <w:tcW w:w="3682" w:type="dxa"/>
            <w:gridSpan w:val="5"/>
            <w:hideMark/>
          </w:tcPr>
          <w:p w14:paraId="78BF7C51" w14:textId="2D50415F"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VALOAREA JUSTĂ A GARANȚIILOR REALE FURNIZATE</w:t>
            </w:r>
          </w:p>
        </w:tc>
      </w:tr>
      <w:tr w:rsidR="003A0695" w:rsidRPr="009F3ADA" w14:paraId="668D8E67" w14:textId="77777777" w:rsidTr="005A76C6">
        <w:trPr>
          <w:trHeight w:val="145"/>
        </w:trPr>
        <w:tc>
          <w:tcPr>
            <w:tcW w:w="0" w:type="auto"/>
            <w:gridSpan w:val="2"/>
            <w:vMerge/>
            <w:hideMark/>
          </w:tcPr>
          <w:p w14:paraId="5CAE0411" w14:textId="77777777" w:rsidR="001102FE" w:rsidRPr="009F3ADA" w:rsidRDefault="001102FE" w:rsidP="001102FE">
            <w:pPr>
              <w:rPr>
                <w:rFonts w:ascii="Times New Roman" w:eastAsia="Times New Roman" w:hAnsi="Times New Roman" w:cs="Times New Roman"/>
                <w:b/>
                <w:bCs/>
                <w:sz w:val="16"/>
                <w:szCs w:val="16"/>
                <w:lang w:eastAsia="ro-MD"/>
              </w:rPr>
            </w:pPr>
          </w:p>
        </w:tc>
        <w:tc>
          <w:tcPr>
            <w:tcW w:w="0" w:type="auto"/>
            <w:gridSpan w:val="2"/>
            <w:hideMark/>
          </w:tcPr>
          <w:p w14:paraId="1ADEF36B" w14:textId="4B9FDC17"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SEGREGATE</w:t>
            </w:r>
          </w:p>
        </w:tc>
        <w:tc>
          <w:tcPr>
            <w:tcW w:w="0" w:type="auto"/>
            <w:gridSpan w:val="2"/>
            <w:hideMark/>
          </w:tcPr>
          <w:p w14:paraId="762D1148" w14:textId="688A818E"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NESEGREGATE</w:t>
            </w:r>
          </w:p>
        </w:tc>
        <w:tc>
          <w:tcPr>
            <w:tcW w:w="0" w:type="auto"/>
            <w:gridSpan w:val="2"/>
            <w:hideMark/>
          </w:tcPr>
          <w:p w14:paraId="39FCE6F3" w14:textId="1D7F2099"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SEGREGATE</w:t>
            </w:r>
          </w:p>
        </w:tc>
        <w:tc>
          <w:tcPr>
            <w:tcW w:w="0" w:type="auto"/>
            <w:gridSpan w:val="2"/>
            <w:hideMark/>
          </w:tcPr>
          <w:p w14:paraId="3634D26B" w14:textId="26FD0F9A"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NESEGREGATE</w:t>
            </w:r>
          </w:p>
        </w:tc>
        <w:tc>
          <w:tcPr>
            <w:tcW w:w="0" w:type="auto"/>
            <w:gridSpan w:val="2"/>
            <w:hideMark/>
          </w:tcPr>
          <w:p w14:paraId="23791A0E" w14:textId="6C1328BE"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SEGREGATE</w:t>
            </w:r>
          </w:p>
        </w:tc>
        <w:tc>
          <w:tcPr>
            <w:tcW w:w="0" w:type="auto"/>
            <w:gridSpan w:val="3"/>
            <w:hideMark/>
          </w:tcPr>
          <w:p w14:paraId="77E953FD" w14:textId="7880E1E2"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NESEGREGATE</w:t>
            </w:r>
          </w:p>
        </w:tc>
        <w:tc>
          <w:tcPr>
            <w:tcW w:w="0" w:type="auto"/>
            <w:gridSpan w:val="2"/>
            <w:hideMark/>
          </w:tcPr>
          <w:p w14:paraId="4D4806FF" w14:textId="11BCF888"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SEGREGATE</w:t>
            </w:r>
          </w:p>
        </w:tc>
        <w:tc>
          <w:tcPr>
            <w:tcW w:w="2368" w:type="dxa"/>
            <w:gridSpan w:val="3"/>
            <w:hideMark/>
          </w:tcPr>
          <w:p w14:paraId="5F4148AA" w14:textId="5A5C2C59" w:rsidR="001102FE" w:rsidRPr="009F3ADA" w:rsidRDefault="005A76C6" w:rsidP="003A0695">
            <w:pPr>
              <w:spacing w:before="100" w:beforeAutospacing="1" w:after="100" w:afterAutospacing="1"/>
              <w:jc w:val="center"/>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NESEGREGATE</w:t>
            </w:r>
          </w:p>
        </w:tc>
      </w:tr>
      <w:tr w:rsidR="003A0695" w:rsidRPr="009F3ADA" w14:paraId="10E37271" w14:textId="77777777" w:rsidTr="005A76C6">
        <w:trPr>
          <w:trHeight w:val="1146"/>
        </w:trPr>
        <w:tc>
          <w:tcPr>
            <w:tcW w:w="0" w:type="auto"/>
            <w:gridSpan w:val="2"/>
            <w:vMerge/>
            <w:hideMark/>
          </w:tcPr>
          <w:p w14:paraId="5F9CEDCB" w14:textId="77777777" w:rsidR="001102FE" w:rsidRPr="009F3ADA" w:rsidRDefault="001102FE" w:rsidP="001102FE">
            <w:pPr>
              <w:rPr>
                <w:rFonts w:ascii="Times New Roman" w:eastAsia="Times New Roman" w:hAnsi="Times New Roman" w:cs="Times New Roman"/>
                <w:b/>
                <w:bCs/>
                <w:sz w:val="16"/>
                <w:szCs w:val="16"/>
                <w:lang w:eastAsia="ro-MD"/>
              </w:rPr>
            </w:pPr>
          </w:p>
        </w:tc>
        <w:tc>
          <w:tcPr>
            <w:tcW w:w="0" w:type="auto"/>
            <w:textDirection w:val="btLr"/>
            <w:hideMark/>
          </w:tcPr>
          <w:p w14:paraId="225B5F90" w14:textId="28E7CD4A"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266DD07C" w14:textId="2FF3FC7F"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5DE3EF39" w14:textId="7D11BE41"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0C5D572B" w14:textId="626E86B3"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73E5D0F4" w14:textId="3BDCB9E5"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528E13A8" w14:textId="7424EABA"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2F94E6FA" w14:textId="1000F018"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7E6DE194" w14:textId="2DA476CB"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5873E606" w14:textId="302FF07C"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714C4660" w14:textId="6A0ED8A5"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1634B4AF" w14:textId="6F442382"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7F044EF3" w14:textId="0AA5CFC9"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6355B504" w14:textId="0B1653BC"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TITLUL DE VALOARE DIN CADRUL SFT</w:t>
            </w:r>
          </w:p>
        </w:tc>
        <w:tc>
          <w:tcPr>
            <w:tcW w:w="0" w:type="auto"/>
            <w:textDirection w:val="btLr"/>
            <w:hideMark/>
          </w:tcPr>
          <w:p w14:paraId="6A0E344A" w14:textId="2938F117"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3DF8F2EB" w14:textId="11BC26E9"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0" w:type="auto"/>
            <w:textDirection w:val="btLr"/>
            <w:hideMark/>
          </w:tcPr>
          <w:p w14:paraId="128BFAC3" w14:textId="39EA8655"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INIȚIALĂ</w:t>
            </w:r>
          </w:p>
        </w:tc>
        <w:tc>
          <w:tcPr>
            <w:tcW w:w="0" w:type="auto"/>
            <w:textDirection w:val="btLr"/>
            <w:hideMark/>
          </w:tcPr>
          <w:p w14:paraId="1F1FD911" w14:textId="585E91CA"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MARJA DE VARIAȚIE</w:t>
            </w:r>
          </w:p>
        </w:tc>
        <w:tc>
          <w:tcPr>
            <w:tcW w:w="1094" w:type="dxa"/>
            <w:textDirection w:val="btLr"/>
            <w:hideMark/>
          </w:tcPr>
          <w:p w14:paraId="23D72CEE" w14:textId="44FC5D7B" w:rsidR="001102FE" w:rsidRPr="009F3ADA" w:rsidRDefault="005A76C6" w:rsidP="003A0695">
            <w:pPr>
              <w:spacing w:before="100" w:beforeAutospacing="1" w:after="100" w:afterAutospacing="1"/>
              <w:ind w:left="113" w:right="113"/>
              <w:rPr>
                <w:rFonts w:ascii="Times New Roman" w:eastAsia="Times New Roman" w:hAnsi="Times New Roman" w:cs="Times New Roman"/>
                <w:b/>
                <w:bCs/>
                <w:sz w:val="16"/>
                <w:szCs w:val="16"/>
                <w:lang w:eastAsia="ro-MD"/>
              </w:rPr>
            </w:pPr>
            <w:r w:rsidRPr="009F3ADA">
              <w:rPr>
                <w:rFonts w:ascii="Times New Roman" w:eastAsia="Times New Roman" w:hAnsi="Times New Roman" w:cs="Times New Roman"/>
                <w:b/>
                <w:bCs/>
                <w:sz w:val="16"/>
                <w:szCs w:val="16"/>
                <w:lang w:eastAsia="ro-MD"/>
              </w:rPr>
              <w:t>TITLUL DE VALOARE DIN CADRUL SFT</w:t>
            </w:r>
          </w:p>
        </w:tc>
      </w:tr>
      <w:tr w:rsidR="003A0695" w:rsidRPr="009F3ADA" w14:paraId="6C4AB264" w14:textId="77777777" w:rsidTr="005A76C6">
        <w:trPr>
          <w:trHeight w:val="145"/>
        </w:trPr>
        <w:tc>
          <w:tcPr>
            <w:tcW w:w="0" w:type="auto"/>
            <w:gridSpan w:val="2"/>
            <w:vMerge/>
            <w:hideMark/>
          </w:tcPr>
          <w:p w14:paraId="00AA1393" w14:textId="77777777" w:rsidR="001102FE" w:rsidRPr="009F3ADA" w:rsidRDefault="001102FE" w:rsidP="001102FE">
            <w:pPr>
              <w:rPr>
                <w:rFonts w:ascii="Times New Roman" w:eastAsia="Times New Roman" w:hAnsi="Times New Roman" w:cs="Times New Roman"/>
                <w:b/>
                <w:bCs/>
                <w:sz w:val="18"/>
                <w:szCs w:val="18"/>
                <w:lang w:eastAsia="ro-MD"/>
              </w:rPr>
            </w:pPr>
          </w:p>
        </w:tc>
        <w:tc>
          <w:tcPr>
            <w:tcW w:w="0" w:type="auto"/>
            <w:hideMark/>
          </w:tcPr>
          <w:p w14:paraId="17BD9C9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0010</w:t>
            </w:r>
          </w:p>
        </w:tc>
        <w:tc>
          <w:tcPr>
            <w:tcW w:w="0" w:type="auto"/>
            <w:hideMark/>
          </w:tcPr>
          <w:p w14:paraId="602BEF9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0020</w:t>
            </w:r>
          </w:p>
        </w:tc>
        <w:tc>
          <w:tcPr>
            <w:tcW w:w="0" w:type="auto"/>
            <w:hideMark/>
          </w:tcPr>
          <w:p w14:paraId="109370C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0030</w:t>
            </w:r>
          </w:p>
        </w:tc>
        <w:tc>
          <w:tcPr>
            <w:tcW w:w="0" w:type="auto"/>
            <w:hideMark/>
          </w:tcPr>
          <w:p w14:paraId="035B2AB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0040</w:t>
            </w:r>
          </w:p>
        </w:tc>
        <w:tc>
          <w:tcPr>
            <w:tcW w:w="0" w:type="auto"/>
            <w:hideMark/>
          </w:tcPr>
          <w:p w14:paraId="5B82517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0050</w:t>
            </w:r>
          </w:p>
        </w:tc>
        <w:tc>
          <w:tcPr>
            <w:tcW w:w="0" w:type="auto"/>
            <w:hideMark/>
          </w:tcPr>
          <w:p w14:paraId="317C6221"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0060</w:t>
            </w:r>
          </w:p>
        </w:tc>
        <w:tc>
          <w:tcPr>
            <w:tcW w:w="0" w:type="auto"/>
            <w:hideMark/>
          </w:tcPr>
          <w:p w14:paraId="0BCD574B"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0070</w:t>
            </w:r>
          </w:p>
        </w:tc>
        <w:tc>
          <w:tcPr>
            <w:tcW w:w="0" w:type="auto"/>
            <w:hideMark/>
          </w:tcPr>
          <w:p w14:paraId="5F9AA0C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0080</w:t>
            </w:r>
          </w:p>
        </w:tc>
        <w:tc>
          <w:tcPr>
            <w:tcW w:w="0" w:type="auto"/>
            <w:hideMark/>
          </w:tcPr>
          <w:p w14:paraId="4A16C58A"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0090</w:t>
            </w:r>
          </w:p>
        </w:tc>
        <w:tc>
          <w:tcPr>
            <w:tcW w:w="0" w:type="auto"/>
            <w:hideMark/>
          </w:tcPr>
          <w:p w14:paraId="66A5116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0100</w:t>
            </w:r>
          </w:p>
        </w:tc>
        <w:tc>
          <w:tcPr>
            <w:tcW w:w="0" w:type="auto"/>
            <w:hideMark/>
          </w:tcPr>
          <w:p w14:paraId="6599873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0110</w:t>
            </w:r>
          </w:p>
        </w:tc>
        <w:tc>
          <w:tcPr>
            <w:tcW w:w="0" w:type="auto"/>
            <w:hideMark/>
          </w:tcPr>
          <w:p w14:paraId="4DE4366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0120</w:t>
            </w:r>
          </w:p>
        </w:tc>
        <w:tc>
          <w:tcPr>
            <w:tcW w:w="0" w:type="auto"/>
            <w:hideMark/>
          </w:tcPr>
          <w:p w14:paraId="47089BF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0130</w:t>
            </w:r>
          </w:p>
        </w:tc>
        <w:tc>
          <w:tcPr>
            <w:tcW w:w="0" w:type="auto"/>
            <w:hideMark/>
          </w:tcPr>
          <w:p w14:paraId="3054E8B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0140</w:t>
            </w:r>
          </w:p>
        </w:tc>
        <w:tc>
          <w:tcPr>
            <w:tcW w:w="0" w:type="auto"/>
            <w:hideMark/>
          </w:tcPr>
          <w:p w14:paraId="447089F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0150</w:t>
            </w:r>
          </w:p>
        </w:tc>
        <w:tc>
          <w:tcPr>
            <w:tcW w:w="0" w:type="auto"/>
            <w:hideMark/>
          </w:tcPr>
          <w:p w14:paraId="2C69F8F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0160</w:t>
            </w:r>
          </w:p>
        </w:tc>
        <w:tc>
          <w:tcPr>
            <w:tcW w:w="0" w:type="auto"/>
            <w:hideMark/>
          </w:tcPr>
          <w:p w14:paraId="7880D79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0170</w:t>
            </w:r>
          </w:p>
        </w:tc>
        <w:tc>
          <w:tcPr>
            <w:tcW w:w="1094" w:type="dxa"/>
            <w:hideMark/>
          </w:tcPr>
          <w:p w14:paraId="01DBE77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18"/>
                <w:szCs w:val="18"/>
                <w:lang w:eastAsia="ro-MD"/>
              </w:rPr>
            </w:pPr>
            <w:r w:rsidRPr="009F3ADA">
              <w:rPr>
                <w:rFonts w:ascii="Times New Roman" w:eastAsia="Times New Roman" w:hAnsi="Times New Roman" w:cs="Times New Roman"/>
                <w:b/>
                <w:bCs/>
                <w:sz w:val="18"/>
                <w:szCs w:val="18"/>
                <w:lang w:eastAsia="ro-MD"/>
              </w:rPr>
              <w:t>0180</w:t>
            </w:r>
          </w:p>
        </w:tc>
      </w:tr>
      <w:tr w:rsidR="003A0695" w:rsidRPr="009F3ADA" w14:paraId="2C01035E" w14:textId="77777777" w:rsidTr="005A76C6">
        <w:trPr>
          <w:trHeight w:val="237"/>
        </w:trPr>
        <w:tc>
          <w:tcPr>
            <w:tcW w:w="0" w:type="auto"/>
            <w:hideMark/>
          </w:tcPr>
          <w:p w14:paraId="08AA861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0010</w:t>
            </w:r>
          </w:p>
        </w:tc>
        <w:tc>
          <w:tcPr>
            <w:tcW w:w="0" w:type="auto"/>
            <w:hideMark/>
          </w:tcPr>
          <w:p w14:paraId="10E6F02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Numerar – monedă națională</w:t>
            </w:r>
          </w:p>
        </w:tc>
        <w:tc>
          <w:tcPr>
            <w:tcW w:w="0" w:type="auto"/>
            <w:hideMark/>
          </w:tcPr>
          <w:p w14:paraId="0697F32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E587AC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36B336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29FF41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D6347E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4CA626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32CE7A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CBF9EE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E40B8D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400330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6B15C7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D36314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30D530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136EC0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30A13D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4A7577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2D3A44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6C524A8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73A07E83" w14:textId="77777777" w:rsidTr="005A76C6">
        <w:trPr>
          <w:trHeight w:val="184"/>
        </w:trPr>
        <w:tc>
          <w:tcPr>
            <w:tcW w:w="0" w:type="auto"/>
            <w:hideMark/>
          </w:tcPr>
          <w:p w14:paraId="3DEAF22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0020</w:t>
            </w:r>
          </w:p>
        </w:tc>
        <w:tc>
          <w:tcPr>
            <w:tcW w:w="0" w:type="auto"/>
            <w:hideMark/>
          </w:tcPr>
          <w:p w14:paraId="7958CD8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Numerar – alte monede</w:t>
            </w:r>
          </w:p>
        </w:tc>
        <w:tc>
          <w:tcPr>
            <w:tcW w:w="0" w:type="auto"/>
            <w:hideMark/>
          </w:tcPr>
          <w:p w14:paraId="5ED1D4E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2E1EE4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07DCD8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542FB2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5A8EC3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C7AE1E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13958A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00AAA5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436149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9BFB84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B0E093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485238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2B0DEF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6676DF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8F1B52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BC07E8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2C1D7B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417D011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165D8062" w14:textId="77777777" w:rsidTr="005A76C6">
        <w:trPr>
          <w:trHeight w:val="175"/>
        </w:trPr>
        <w:tc>
          <w:tcPr>
            <w:tcW w:w="0" w:type="auto"/>
            <w:hideMark/>
          </w:tcPr>
          <w:p w14:paraId="6F2264A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0030</w:t>
            </w:r>
          </w:p>
        </w:tc>
        <w:tc>
          <w:tcPr>
            <w:tcW w:w="0" w:type="auto"/>
            <w:hideMark/>
          </w:tcPr>
          <w:p w14:paraId="157BEDE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Datorie suverană internă</w:t>
            </w:r>
          </w:p>
        </w:tc>
        <w:tc>
          <w:tcPr>
            <w:tcW w:w="0" w:type="auto"/>
            <w:hideMark/>
          </w:tcPr>
          <w:p w14:paraId="4E636AC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704FBC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53D1D0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48F4D7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89AAF0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138BA1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847E07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87A320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2DE34B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199728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6CC60C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9AA0FD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C2F22A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751D95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A0C4CC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4EB3F0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FDD87E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20B3374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6A1AF2EA" w14:textId="77777777" w:rsidTr="005A76C6">
        <w:trPr>
          <w:trHeight w:val="164"/>
        </w:trPr>
        <w:tc>
          <w:tcPr>
            <w:tcW w:w="0" w:type="auto"/>
            <w:hideMark/>
          </w:tcPr>
          <w:p w14:paraId="1C12E94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0040</w:t>
            </w:r>
          </w:p>
        </w:tc>
        <w:tc>
          <w:tcPr>
            <w:tcW w:w="0" w:type="auto"/>
            <w:hideMark/>
          </w:tcPr>
          <w:p w14:paraId="1C8CDD3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Alte datorii suverane</w:t>
            </w:r>
          </w:p>
        </w:tc>
        <w:tc>
          <w:tcPr>
            <w:tcW w:w="0" w:type="auto"/>
            <w:hideMark/>
          </w:tcPr>
          <w:p w14:paraId="630EF08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F2D4BD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7C291A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E5A8FC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349C20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FA50AA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996F53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F4A60E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374458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E9CFE9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7DF2AC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778611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032936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F4E295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494D4A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CAF1A0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485848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513B46E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61B221CF" w14:textId="77777777" w:rsidTr="005A76C6">
        <w:trPr>
          <w:trHeight w:val="438"/>
        </w:trPr>
        <w:tc>
          <w:tcPr>
            <w:tcW w:w="0" w:type="auto"/>
            <w:hideMark/>
          </w:tcPr>
          <w:p w14:paraId="26E5D84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0050</w:t>
            </w:r>
          </w:p>
        </w:tc>
        <w:tc>
          <w:tcPr>
            <w:tcW w:w="0" w:type="auto"/>
            <w:hideMark/>
          </w:tcPr>
          <w:p w14:paraId="5AA7948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Titluri de datorie emise de agenții guvernamentale</w:t>
            </w:r>
          </w:p>
        </w:tc>
        <w:tc>
          <w:tcPr>
            <w:tcW w:w="0" w:type="auto"/>
            <w:hideMark/>
          </w:tcPr>
          <w:p w14:paraId="69FAE73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985552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B2115D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F4F639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3ACA88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1CAACB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751E37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B90426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84FE16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B86F58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386E07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85EF32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DA2ED8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E7FC73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709402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8EFB99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FB0AFE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7857F72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09118114" w14:textId="77777777" w:rsidTr="005A76C6">
        <w:trPr>
          <w:trHeight w:val="191"/>
        </w:trPr>
        <w:tc>
          <w:tcPr>
            <w:tcW w:w="0" w:type="auto"/>
            <w:hideMark/>
          </w:tcPr>
          <w:p w14:paraId="09C7DF5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0060</w:t>
            </w:r>
          </w:p>
        </w:tc>
        <w:tc>
          <w:tcPr>
            <w:tcW w:w="0" w:type="auto"/>
            <w:hideMark/>
          </w:tcPr>
          <w:p w14:paraId="53CFB79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Obligațiuni corporative</w:t>
            </w:r>
          </w:p>
        </w:tc>
        <w:tc>
          <w:tcPr>
            <w:tcW w:w="0" w:type="auto"/>
            <w:hideMark/>
          </w:tcPr>
          <w:p w14:paraId="62C3E5E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05820B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FEBFD1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B59822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3E2AC0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9EE08D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BD615D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F0FDA7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E3D553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1FAB8D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A91906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D5DB52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EFA9A9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F0A5AE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B4DBF3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0AD412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1A83F8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7E9A85F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7C028B95" w14:textId="77777777" w:rsidTr="005A76C6">
        <w:trPr>
          <w:trHeight w:val="180"/>
        </w:trPr>
        <w:tc>
          <w:tcPr>
            <w:tcW w:w="0" w:type="auto"/>
            <w:hideMark/>
          </w:tcPr>
          <w:p w14:paraId="7F91843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0070</w:t>
            </w:r>
          </w:p>
        </w:tc>
        <w:tc>
          <w:tcPr>
            <w:tcW w:w="0" w:type="auto"/>
            <w:hideMark/>
          </w:tcPr>
          <w:p w14:paraId="0C89919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Titluri de capital</w:t>
            </w:r>
          </w:p>
        </w:tc>
        <w:tc>
          <w:tcPr>
            <w:tcW w:w="0" w:type="auto"/>
            <w:hideMark/>
          </w:tcPr>
          <w:p w14:paraId="14A3FBE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2033B1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0FE8BF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04D506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111B9E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015093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20E5A77"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BB173E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1B740C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E3BE09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22D3D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525F60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C5BA42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2B689C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FD03D9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2D7500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924E5CB"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779075C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4C7C59E0" w14:textId="77777777" w:rsidTr="005A76C6">
        <w:trPr>
          <w:trHeight w:val="157"/>
        </w:trPr>
        <w:tc>
          <w:tcPr>
            <w:tcW w:w="0" w:type="auto"/>
            <w:hideMark/>
          </w:tcPr>
          <w:p w14:paraId="08B1D9E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0080</w:t>
            </w:r>
          </w:p>
        </w:tc>
        <w:tc>
          <w:tcPr>
            <w:tcW w:w="0" w:type="auto"/>
            <w:hideMark/>
          </w:tcPr>
          <w:p w14:paraId="2A022A3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Alte garanții reale</w:t>
            </w:r>
          </w:p>
        </w:tc>
        <w:tc>
          <w:tcPr>
            <w:tcW w:w="0" w:type="auto"/>
            <w:hideMark/>
          </w:tcPr>
          <w:p w14:paraId="301B81D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A51BFF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D3F62C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23BCDDD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F970C0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0B5EFC5"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EBC100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FBF2CD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1427182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D776D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6F7506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8D3622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068F53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5951028"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299B70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E107CD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991F50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2F723C3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r w:rsidR="003A0695" w:rsidRPr="009F3ADA" w14:paraId="6858D783" w14:textId="77777777" w:rsidTr="005A76C6">
        <w:trPr>
          <w:trHeight w:val="272"/>
        </w:trPr>
        <w:tc>
          <w:tcPr>
            <w:tcW w:w="0" w:type="auto"/>
            <w:hideMark/>
          </w:tcPr>
          <w:p w14:paraId="5990CF0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0090</w:t>
            </w:r>
          </w:p>
        </w:tc>
        <w:tc>
          <w:tcPr>
            <w:tcW w:w="0" w:type="auto"/>
            <w:hideMark/>
          </w:tcPr>
          <w:p w14:paraId="2363F60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Total</w:t>
            </w:r>
          </w:p>
        </w:tc>
        <w:tc>
          <w:tcPr>
            <w:tcW w:w="0" w:type="auto"/>
            <w:hideMark/>
          </w:tcPr>
          <w:p w14:paraId="4CE2F96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A86FCD3"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79DEFA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1000B6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69C21C32"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56C0A9B1"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83ACAF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289FDAA"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2D52D9D"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743A51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9225BDF"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62B4A09"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05C414D0"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E5F255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3329244C"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4C624456"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0" w:type="auto"/>
            <w:hideMark/>
          </w:tcPr>
          <w:p w14:paraId="70E47114"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c>
          <w:tcPr>
            <w:tcW w:w="1094" w:type="dxa"/>
            <w:hideMark/>
          </w:tcPr>
          <w:p w14:paraId="06D3044E" w14:textId="77777777" w:rsidR="001102FE" w:rsidRPr="009F3ADA" w:rsidRDefault="001102FE" w:rsidP="001102FE">
            <w:pPr>
              <w:spacing w:before="100" w:beforeAutospacing="1" w:after="100" w:afterAutospacing="1"/>
              <w:rPr>
                <w:rFonts w:ascii="Times New Roman" w:eastAsia="Times New Roman" w:hAnsi="Times New Roman" w:cs="Times New Roman"/>
                <w:sz w:val="18"/>
                <w:szCs w:val="18"/>
                <w:lang w:eastAsia="ro-MD"/>
              </w:rPr>
            </w:pPr>
            <w:r w:rsidRPr="009F3ADA">
              <w:rPr>
                <w:rFonts w:ascii="Times New Roman" w:eastAsia="Times New Roman" w:hAnsi="Times New Roman" w:cs="Times New Roman"/>
                <w:sz w:val="18"/>
                <w:szCs w:val="18"/>
                <w:lang w:eastAsia="ro-MD"/>
              </w:rPr>
              <w:t> </w:t>
            </w:r>
          </w:p>
        </w:tc>
      </w:tr>
    </w:tbl>
    <w:p w14:paraId="6B867A87"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EB525AB"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22DD325" w14:textId="77777777"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3A0695" w:rsidRPr="009F3ADA" w:rsidSect="003A0695">
          <w:pgSz w:w="16838" w:h="11906" w:orient="landscape" w:code="9"/>
          <w:pgMar w:top="1701" w:right="1134" w:bottom="851" w:left="1134" w:header="709" w:footer="709" w:gutter="0"/>
          <w:cols w:space="708"/>
          <w:docGrid w:linePitch="360"/>
        </w:sectPr>
      </w:pPr>
    </w:p>
    <w:p w14:paraId="5461C5A2" w14:textId="13B8C888"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lastRenderedPageBreak/>
        <w:t>Modul de completare a raportului</w:t>
      </w:r>
    </w:p>
    <w:p w14:paraId="7616BC22" w14:textId="77777777" w:rsidR="00CA5AC2" w:rsidRPr="009F3ADA" w:rsidRDefault="003A0695" w:rsidP="00CA5AC2">
      <w:pPr>
        <w:spacing w:before="100" w:beforeAutospacing="1" w:after="100" w:afterAutospacing="1" w:line="240" w:lineRule="auto"/>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34.08 – </w:t>
      </w:r>
      <w:r w:rsidR="00CA5AC2" w:rsidRPr="009F3ADA">
        <w:rPr>
          <w:rFonts w:ascii="Times New Roman" w:eastAsia="Times New Roman" w:hAnsi="Times New Roman" w:cs="Times New Roman"/>
          <w:b/>
          <w:bCs/>
          <w:color w:val="000000"/>
          <w:sz w:val="27"/>
          <w:szCs w:val="27"/>
          <w:lang w:eastAsia="ro-MD"/>
        </w:rPr>
        <w:t>RISCUL DE CREDIT AL CONTRAPĂRȚII: COMPOZIȚIA GARANȚIILOR REALE PENTRU EXPUNERI LA CCR (CCR 8)</w:t>
      </w:r>
    </w:p>
    <w:p w14:paraId="3FF2E3B2" w14:textId="32F1D84F"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Instrucțiuni privind anumite poziții</w:t>
      </w:r>
    </w:p>
    <w:tbl>
      <w:tblPr>
        <w:tblStyle w:val="TableGrid"/>
        <w:tblW w:w="8876" w:type="dxa"/>
        <w:tblLook w:val="04A0" w:firstRow="1" w:lastRow="0" w:firstColumn="1" w:lastColumn="0" w:noHBand="0" w:noVBand="1"/>
      </w:tblPr>
      <w:tblGrid>
        <w:gridCol w:w="1716"/>
        <w:gridCol w:w="7160"/>
      </w:tblGrid>
      <w:tr w:rsidR="003A0695" w:rsidRPr="009F3ADA" w14:paraId="0120578C" w14:textId="77777777" w:rsidTr="001E5BEB">
        <w:trPr>
          <w:trHeight w:val="270"/>
        </w:trPr>
        <w:tc>
          <w:tcPr>
            <w:tcW w:w="0" w:type="auto"/>
            <w:gridSpan w:val="2"/>
            <w:hideMark/>
          </w:tcPr>
          <w:p w14:paraId="33C7554E" w14:textId="77777777" w:rsidR="003A0695" w:rsidRPr="009F3ADA" w:rsidRDefault="003A0695" w:rsidP="003A0695">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r>
      <w:tr w:rsidR="003A0695" w:rsidRPr="009F3ADA" w14:paraId="04264AFA" w14:textId="77777777" w:rsidTr="001E5BEB">
        <w:trPr>
          <w:trHeight w:val="3055"/>
        </w:trPr>
        <w:tc>
          <w:tcPr>
            <w:tcW w:w="0" w:type="auto"/>
            <w:hideMark/>
          </w:tcPr>
          <w:p w14:paraId="50CB50E7"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0010 - 0080</w:t>
            </w:r>
          </w:p>
        </w:tc>
        <w:tc>
          <w:tcPr>
            <w:tcW w:w="0" w:type="auto"/>
            <w:hideMark/>
          </w:tcPr>
          <w:p w14:paraId="22EB8CDB"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Garanții reale utilizate în tranzacțiile cu instrumente financiare derivate</w:t>
            </w:r>
          </w:p>
          <w:p w14:paraId="418771D2" w14:textId="06AA98A7"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garanțiile reale (inclusiv garanțiile reale corespunzătoare marjei inițiale și marjei de variație) care sunt utilizate în expunerile la riscul de credit al </w:t>
            </w:r>
            <w:proofErr w:type="spellStart"/>
            <w:r w:rsidR="003A0695" w:rsidRPr="009F3ADA">
              <w:rPr>
                <w:rFonts w:ascii="Times New Roman" w:eastAsia="Times New Roman" w:hAnsi="Times New Roman" w:cs="Times New Roman"/>
                <w:sz w:val="24"/>
                <w:szCs w:val="24"/>
                <w:lang w:eastAsia="ro-MD"/>
              </w:rPr>
              <w:t>contrapărții</w:t>
            </w:r>
            <w:proofErr w:type="spellEnd"/>
            <w:r w:rsidR="003A0695" w:rsidRPr="009F3ADA">
              <w:rPr>
                <w:rFonts w:ascii="Times New Roman" w:eastAsia="Times New Roman" w:hAnsi="Times New Roman" w:cs="Times New Roman"/>
                <w:sz w:val="24"/>
                <w:szCs w:val="24"/>
                <w:lang w:eastAsia="ro-MD"/>
              </w:rPr>
              <w:t xml:space="preserve"> legate de orice instrument financiar derivat menționat </w:t>
            </w:r>
            <w:r w:rsidR="00101854" w:rsidRPr="009F3ADA">
              <w:rPr>
                <w:rFonts w:ascii="Times New Roman" w:eastAsia="Times New Roman" w:hAnsi="Times New Roman" w:cs="Times New Roman"/>
                <w:sz w:val="24"/>
                <w:szCs w:val="24"/>
                <w:lang w:eastAsia="ro-MD"/>
              </w:rPr>
              <w:t xml:space="preserve">în anexa nr.1 la Regulamentul nr.114/2018 cu privire la tratamentul riscului de </w:t>
            </w:r>
            <w:proofErr w:type="spellStart"/>
            <w:r w:rsidR="00101854" w:rsidRPr="009F3ADA">
              <w:rPr>
                <w:rFonts w:ascii="Times New Roman" w:eastAsia="Times New Roman" w:hAnsi="Times New Roman" w:cs="Times New Roman"/>
                <w:sz w:val="24"/>
                <w:szCs w:val="24"/>
                <w:lang w:eastAsia="ro-MD"/>
              </w:rPr>
              <w:t>piaţă</w:t>
            </w:r>
            <w:proofErr w:type="spellEnd"/>
            <w:r w:rsidR="00101854" w:rsidRPr="009F3ADA">
              <w:rPr>
                <w:rFonts w:ascii="Times New Roman" w:eastAsia="Times New Roman" w:hAnsi="Times New Roman" w:cs="Times New Roman"/>
                <w:sz w:val="24"/>
                <w:szCs w:val="24"/>
                <w:lang w:eastAsia="ro-MD"/>
              </w:rPr>
              <w:t xml:space="preserve"> potrivit abordării standardizate </w:t>
            </w:r>
            <w:r w:rsidR="003A0695" w:rsidRPr="009F3ADA">
              <w:rPr>
                <w:rFonts w:ascii="Times New Roman" w:eastAsia="Times New Roman" w:hAnsi="Times New Roman" w:cs="Times New Roman"/>
                <w:sz w:val="24"/>
                <w:szCs w:val="24"/>
                <w:lang w:eastAsia="ro-MD"/>
              </w:rPr>
              <w:t xml:space="preserve">sau de orice tranzacție cu termen lung de decontare, astfel cum este definită la </w:t>
            </w:r>
            <w:r w:rsidR="008218B4" w:rsidRPr="009F3ADA">
              <w:rPr>
                <w:rFonts w:ascii="Times New Roman" w:eastAsia="Times New Roman" w:hAnsi="Times New Roman" w:cs="Times New Roman"/>
                <w:sz w:val="24"/>
                <w:szCs w:val="24"/>
                <w:lang w:eastAsia="ro-MD"/>
              </w:rPr>
              <w:t xml:space="preserve">punctul 3 din Regulamentul </w:t>
            </w:r>
            <w:r w:rsidR="00ED3A84" w:rsidRPr="009F3ADA">
              <w:rPr>
                <w:rFonts w:ascii="Times New Roman" w:eastAsia="Times New Roman" w:hAnsi="Times New Roman" w:cs="Times New Roman"/>
                <w:sz w:val="24"/>
                <w:szCs w:val="24"/>
                <w:lang w:eastAsia="ro-MD"/>
              </w:rPr>
              <w:t xml:space="preserve">nr.220/2025 </w:t>
            </w:r>
            <w:r w:rsidR="008218B4" w:rsidRPr="009F3ADA">
              <w:rPr>
                <w:rFonts w:ascii="Times New Roman" w:eastAsia="Times New Roman" w:hAnsi="Times New Roman" w:cs="Times New Roman"/>
                <w:sz w:val="24"/>
                <w:szCs w:val="24"/>
                <w:lang w:eastAsia="ro-MD"/>
              </w:rPr>
              <w:t xml:space="preserve">cu privire la tratamentul riscului de credit al </w:t>
            </w:r>
            <w:proofErr w:type="spellStart"/>
            <w:r w:rsidR="008218B4" w:rsidRPr="009F3ADA">
              <w:rPr>
                <w:rFonts w:ascii="Times New Roman" w:eastAsia="Times New Roman" w:hAnsi="Times New Roman" w:cs="Times New Roman"/>
                <w:sz w:val="24"/>
                <w:szCs w:val="24"/>
                <w:lang w:eastAsia="ro-MD"/>
              </w:rPr>
              <w:t>contrapărţii</w:t>
            </w:r>
            <w:proofErr w:type="spellEnd"/>
            <w:r w:rsidR="008218B4" w:rsidRPr="009F3ADA">
              <w:rPr>
                <w:rFonts w:ascii="Times New Roman" w:eastAsia="Times New Roman" w:hAnsi="Times New Roman" w:cs="Times New Roman"/>
                <w:sz w:val="24"/>
                <w:szCs w:val="24"/>
                <w:lang w:eastAsia="ro-MD"/>
              </w:rPr>
              <w:t xml:space="preserve"> pentru bănci</w:t>
            </w:r>
            <w:r w:rsidR="003A0695" w:rsidRPr="009F3ADA">
              <w:rPr>
                <w:rFonts w:ascii="Times New Roman" w:eastAsia="Times New Roman" w:hAnsi="Times New Roman" w:cs="Times New Roman"/>
                <w:sz w:val="24"/>
                <w:szCs w:val="24"/>
                <w:lang w:eastAsia="ro-MD"/>
              </w:rPr>
              <w:t>, care nu poate fi considerată SFT.</w:t>
            </w:r>
          </w:p>
        </w:tc>
      </w:tr>
      <w:tr w:rsidR="003A0695" w:rsidRPr="009F3ADA" w14:paraId="098BF162" w14:textId="77777777" w:rsidTr="001E5BEB">
        <w:trPr>
          <w:trHeight w:val="2498"/>
        </w:trPr>
        <w:tc>
          <w:tcPr>
            <w:tcW w:w="0" w:type="auto"/>
            <w:hideMark/>
          </w:tcPr>
          <w:p w14:paraId="4C170973"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0090 - 0180</w:t>
            </w:r>
          </w:p>
        </w:tc>
        <w:tc>
          <w:tcPr>
            <w:tcW w:w="0" w:type="auto"/>
            <w:hideMark/>
          </w:tcPr>
          <w:p w14:paraId="2AD25632"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Garanții reale utilizate în SFT-uri</w:t>
            </w:r>
          </w:p>
          <w:p w14:paraId="624198B3" w14:textId="1E42252C"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garanțiile reale (inclusiv garanțiile reale corespunzătoare marjei inițiale și marjei de variație, precum și garanțiile reale care apar ca titluri de valoare în SFT-uri) care sunt utilizate în expunerile la riscul de credit al </w:t>
            </w:r>
            <w:proofErr w:type="spellStart"/>
            <w:r w:rsidR="003A0695" w:rsidRPr="009F3ADA">
              <w:rPr>
                <w:rFonts w:ascii="Times New Roman" w:eastAsia="Times New Roman" w:hAnsi="Times New Roman" w:cs="Times New Roman"/>
                <w:sz w:val="24"/>
                <w:szCs w:val="24"/>
                <w:lang w:eastAsia="ro-MD"/>
              </w:rPr>
              <w:t>contrapărții</w:t>
            </w:r>
            <w:proofErr w:type="spellEnd"/>
            <w:r w:rsidR="003A0695" w:rsidRPr="009F3ADA">
              <w:rPr>
                <w:rFonts w:ascii="Times New Roman" w:eastAsia="Times New Roman" w:hAnsi="Times New Roman" w:cs="Times New Roman"/>
                <w:sz w:val="24"/>
                <w:szCs w:val="24"/>
                <w:lang w:eastAsia="ro-MD"/>
              </w:rPr>
              <w:t xml:space="preserve"> legate de orice SFT sau de orice tranzacție cu termen lung de decontare care nu poate fi considerată instrument financiar derivat.</w:t>
            </w:r>
          </w:p>
        </w:tc>
      </w:tr>
      <w:tr w:rsidR="003A0695" w:rsidRPr="009F3ADA" w14:paraId="178B83E9" w14:textId="77777777" w:rsidTr="001E5BEB">
        <w:trPr>
          <w:trHeight w:val="2769"/>
        </w:trPr>
        <w:tc>
          <w:tcPr>
            <w:tcW w:w="0" w:type="auto"/>
            <w:hideMark/>
          </w:tcPr>
          <w:p w14:paraId="58B7F4B9"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0010, 0020, 0050, 0060, 0090, 0100, 0140, 0150</w:t>
            </w:r>
          </w:p>
        </w:tc>
        <w:tc>
          <w:tcPr>
            <w:tcW w:w="0" w:type="auto"/>
            <w:hideMark/>
          </w:tcPr>
          <w:p w14:paraId="243438EC"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Segregate</w:t>
            </w:r>
          </w:p>
          <w:p w14:paraId="777D157E" w14:textId="6D11A8DD" w:rsidR="006D576F" w:rsidRPr="009F3ADA" w:rsidRDefault="006D576F"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3 din Regulamentul </w:t>
            </w:r>
            <w:r w:rsidR="00ED3A84"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254361" w:rsidRPr="009F3ADA">
              <w:rPr>
                <w:rFonts w:ascii="Times New Roman" w:eastAsia="Times New Roman" w:hAnsi="Times New Roman" w:cs="Times New Roman"/>
                <w:sz w:val="24"/>
                <w:szCs w:val="24"/>
                <w:lang w:eastAsia="ro-MD"/>
              </w:rPr>
              <w:t>.</w:t>
            </w:r>
            <w:r w:rsidRPr="009F3ADA">
              <w:rPr>
                <w:rFonts w:ascii="Times New Roman" w:eastAsia="Times New Roman" w:hAnsi="Times New Roman" w:cs="Times New Roman"/>
                <w:sz w:val="24"/>
                <w:szCs w:val="24"/>
                <w:lang w:eastAsia="ro-MD"/>
              </w:rPr>
              <w:t xml:space="preserve"> </w:t>
            </w:r>
          </w:p>
          <w:p w14:paraId="624BF88F" w14:textId="61164BD9"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garanțiile reale deținute care sunt indisponibile în caz de faliment, conform definiției de la </w:t>
            </w:r>
            <w:r w:rsidR="005305A6" w:rsidRPr="009F3ADA">
              <w:rPr>
                <w:rFonts w:ascii="Times New Roman" w:eastAsia="Times New Roman" w:hAnsi="Times New Roman" w:cs="Times New Roman"/>
                <w:sz w:val="24"/>
                <w:szCs w:val="24"/>
                <w:lang w:eastAsia="ro-MD"/>
              </w:rPr>
              <w:t xml:space="preserve">punctul 3 din Regulamentul </w:t>
            </w:r>
            <w:r w:rsidR="00ED3A84" w:rsidRPr="009F3ADA">
              <w:rPr>
                <w:rFonts w:ascii="Times New Roman" w:eastAsia="Times New Roman" w:hAnsi="Times New Roman" w:cs="Times New Roman"/>
                <w:sz w:val="24"/>
                <w:szCs w:val="24"/>
                <w:lang w:eastAsia="ro-MD"/>
              </w:rPr>
              <w:t xml:space="preserve">nr.220/2025 </w:t>
            </w:r>
            <w:r w:rsidR="005305A6" w:rsidRPr="009F3ADA">
              <w:rPr>
                <w:rFonts w:ascii="Times New Roman" w:eastAsia="Times New Roman" w:hAnsi="Times New Roman" w:cs="Times New Roman"/>
                <w:sz w:val="24"/>
                <w:szCs w:val="24"/>
                <w:lang w:eastAsia="ro-MD"/>
              </w:rPr>
              <w:t xml:space="preserve">cu privire la tratamentul riscului de credit al </w:t>
            </w:r>
            <w:proofErr w:type="spellStart"/>
            <w:r w:rsidR="005305A6" w:rsidRPr="009F3ADA">
              <w:rPr>
                <w:rFonts w:ascii="Times New Roman" w:eastAsia="Times New Roman" w:hAnsi="Times New Roman" w:cs="Times New Roman"/>
                <w:sz w:val="24"/>
                <w:szCs w:val="24"/>
                <w:lang w:eastAsia="ro-MD"/>
              </w:rPr>
              <w:t>contrapărţii</w:t>
            </w:r>
            <w:proofErr w:type="spellEnd"/>
            <w:r w:rsidR="005305A6" w:rsidRPr="009F3ADA">
              <w:rPr>
                <w:rFonts w:ascii="Times New Roman" w:eastAsia="Times New Roman" w:hAnsi="Times New Roman" w:cs="Times New Roman"/>
                <w:sz w:val="24"/>
                <w:szCs w:val="24"/>
                <w:lang w:eastAsia="ro-MD"/>
              </w:rPr>
              <w:t xml:space="preserve"> pentru bănci</w:t>
            </w:r>
            <w:r w:rsidR="003A0695" w:rsidRPr="009F3ADA">
              <w:rPr>
                <w:rFonts w:ascii="Times New Roman" w:eastAsia="Times New Roman" w:hAnsi="Times New Roman" w:cs="Times New Roman"/>
                <w:sz w:val="24"/>
                <w:szCs w:val="24"/>
                <w:lang w:eastAsia="ro-MD"/>
              </w:rPr>
              <w:t>, defalcate în continuare drept garanții reale sub formă de marjă inițială sau marjă de variație.</w:t>
            </w:r>
          </w:p>
        </w:tc>
      </w:tr>
      <w:tr w:rsidR="003A0695" w:rsidRPr="009F3ADA" w14:paraId="2C743A33" w14:textId="77777777" w:rsidTr="001E5BEB">
        <w:trPr>
          <w:trHeight w:val="2513"/>
        </w:trPr>
        <w:tc>
          <w:tcPr>
            <w:tcW w:w="0" w:type="auto"/>
            <w:hideMark/>
          </w:tcPr>
          <w:p w14:paraId="5E5032B9"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0030, 0040, 0070, 0080, 0110, 0120, 0130, 0160, 0170, 0180</w:t>
            </w:r>
          </w:p>
        </w:tc>
        <w:tc>
          <w:tcPr>
            <w:tcW w:w="0" w:type="auto"/>
            <w:hideMark/>
          </w:tcPr>
          <w:p w14:paraId="45B6BC12"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Nesegregate</w:t>
            </w:r>
          </w:p>
          <w:p w14:paraId="7DEBB5A9" w14:textId="17EBD92D" w:rsidR="005305A6" w:rsidRPr="009F3ADA" w:rsidRDefault="005305A6"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Punctul 3 din Regulamentul </w:t>
            </w:r>
            <w:r w:rsidR="00ED3A84"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 </w:t>
            </w:r>
          </w:p>
          <w:p w14:paraId="2A4176B8" w14:textId="7527BE5D"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garanțiile reale deținute care nu sunt indisponibile în caz de faliment, conform definiției de la </w:t>
            </w:r>
            <w:r w:rsidR="005305A6" w:rsidRPr="009F3ADA">
              <w:rPr>
                <w:rFonts w:ascii="Times New Roman" w:eastAsia="Times New Roman" w:hAnsi="Times New Roman" w:cs="Times New Roman"/>
                <w:sz w:val="24"/>
                <w:szCs w:val="24"/>
                <w:lang w:eastAsia="ro-MD"/>
              </w:rPr>
              <w:t xml:space="preserve">punctul 3 din Regulamentul </w:t>
            </w:r>
            <w:r w:rsidR="00ED3A84" w:rsidRPr="009F3ADA">
              <w:rPr>
                <w:rFonts w:ascii="Times New Roman" w:eastAsia="Times New Roman" w:hAnsi="Times New Roman" w:cs="Times New Roman"/>
                <w:sz w:val="24"/>
                <w:szCs w:val="24"/>
                <w:lang w:eastAsia="ro-MD"/>
              </w:rPr>
              <w:t xml:space="preserve">nr.220/2025 </w:t>
            </w:r>
            <w:r w:rsidR="005305A6" w:rsidRPr="009F3ADA">
              <w:rPr>
                <w:rFonts w:ascii="Times New Roman" w:eastAsia="Times New Roman" w:hAnsi="Times New Roman" w:cs="Times New Roman"/>
                <w:sz w:val="24"/>
                <w:szCs w:val="24"/>
                <w:lang w:eastAsia="ro-MD"/>
              </w:rPr>
              <w:t xml:space="preserve">cu privire la tratamentul riscului de credit al </w:t>
            </w:r>
            <w:proofErr w:type="spellStart"/>
            <w:r w:rsidR="005305A6" w:rsidRPr="009F3ADA">
              <w:rPr>
                <w:rFonts w:ascii="Times New Roman" w:eastAsia="Times New Roman" w:hAnsi="Times New Roman" w:cs="Times New Roman"/>
                <w:sz w:val="24"/>
                <w:szCs w:val="24"/>
                <w:lang w:eastAsia="ro-MD"/>
              </w:rPr>
              <w:t>contrapărţii</w:t>
            </w:r>
            <w:proofErr w:type="spellEnd"/>
            <w:r w:rsidR="005305A6" w:rsidRPr="009F3ADA">
              <w:rPr>
                <w:rFonts w:ascii="Times New Roman" w:eastAsia="Times New Roman" w:hAnsi="Times New Roman" w:cs="Times New Roman"/>
                <w:sz w:val="24"/>
                <w:szCs w:val="24"/>
                <w:lang w:eastAsia="ro-MD"/>
              </w:rPr>
              <w:t xml:space="preserve"> pentru bănci</w:t>
            </w:r>
            <w:r w:rsidR="003A0695" w:rsidRPr="009F3ADA">
              <w:rPr>
                <w:rFonts w:ascii="Times New Roman" w:eastAsia="Times New Roman" w:hAnsi="Times New Roman" w:cs="Times New Roman"/>
                <w:sz w:val="24"/>
                <w:szCs w:val="24"/>
                <w:lang w:eastAsia="ro-MD"/>
              </w:rPr>
              <w:t>, defalcate în continuare drept garanții reale sub formă de marjă inițială, marjă de variație sau titlu de valoare din cadrul SFT-urilor.</w:t>
            </w:r>
          </w:p>
        </w:tc>
      </w:tr>
      <w:tr w:rsidR="003A0695" w:rsidRPr="009F3ADA" w14:paraId="696375D7" w14:textId="77777777" w:rsidTr="001E5BEB">
        <w:trPr>
          <w:trHeight w:val="144"/>
        </w:trPr>
        <w:tc>
          <w:tcPr>
            <w:tcW w:w="0" w:type="auto"/>
            <w:hideMark/>
          </w:tcPr>
          <w:p w14:paraId="01E989B4"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0010, 0030, 0050, 0070, 0090, 0110, 0140, 0160</w:t>
            </w:r>
          </w:p>
        </w:tc>
        <w:tc>
          <w:tcPr>
            <w:tcW w:w="0" w:type="auto"/>
            <w:hideMark/>
          </w:tcPr>
          <w:p w14:paraId="77546354"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Marja inițială</w:t>
            </w:r>
          </w:p>
          <w:p w14:paraId="24AD0DE5" w14:textId="19416F76" w:rsidR="005E5FA0" w:rsidRPr="009F3ADA" w:rsidRDefault="005E5FA0" w:rsidP="003A0695">
            <w:pPr>
              <w:spacing w:before="100" w:beforeAutospacing="1" w:after="100" w:afterAutospacing="1"/>
              <w:rPr>
                <w:rFonts w:ascii="Times New Roman" w:eastAsia="Times New Roman" w:hAnsi="Times New Roman" w:cs="Times New Roman"/>
                <w:bCs/>
                <w:sz w:val="24"/>
                <w:szCs w:val="24"/>
                <w:lang w:eastAsia="ro-MD"/>
              </w:rPr>
            </w:pPr>
            <w:r w:rsidRPr="009F3ADA">
              <w:rPr>
                <w:rFonts w:ascii="Times New Roman" w:eastAsia="Times New Roman" w:hAnsi="Times New Roman" w:cs="Times New Roman"/>
                <w:bCs/>
                <w:sz w:val="24"/>
                <w:szCs w:val="24"/>
                <w:lang w:val="ro-RO" w:eastAsia="ro-MD"/>
              </w:rPr>
              <w:t>Regulamentul cu privire la tratamentul riscului de piață potrivit abordării standardizate</w:t>
            </w:r>
            <w:r w:rsidRPr="009F3ADA">
              <w:rPr>
                <w:rFonts w:ascii="Times New Roman" w:eastAsia="Times New Roman" w:hAnsi="Times New Roman" w:cs="Times New Roman"/>
                <w:bCs/>
                <w:sz w:val="24"/>
                <w:szCs w:val="24"/>
                <w:lang w:eastAsia="ro-MD"/>
              </w:rPr>
              <w:t xml:space="preserve"> </w:t>
            </w:r>
          </w:p>
          <w:p w14:paraId="1878B278" w14:textId="0BC1CAD3"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valorile juste ale garanțiilor reale primite sau furnizate ca marjă inițială</w:t>
            </w:r>
            <w:r w:rsidR="005E5FA0" w:rsidRPr="009F3ADA">
              <w:rPr>
                <w:rFonts w:ascii="Times New Roman" w:eastAsia="Times New Roman" w:hAnsi="Times New Roman" w:cs="Times New Roman"/>
                <w:sz w:val="24"/>
                <w:szCs w:val="24"/>
                <w:lang w:eastAsia="ro-MD"/>
              </w:rPr>
              <w:t>.</w:t>
            </w:r>
          </w:p>
        </w:tc>
      </w:tr>
      <w:tr w:rsidR="003A0695" w:rsidRPr="009F3ADA" w14:paraId="6FC95216" w14:textId="77777777" w:rsidTr="001E5BEB">
        <w:trPr>
          <w:trHeight w:val="144"/>
        </w:trPr>
        <w:tc>
          <w:tcPr>
            <w:tcW w:w="0" w:type="auto"/>
            <w:hideMark/>
          </w:tcPr>
          <w:p w14:paraId="27ACA78D"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0020, 0040, 0060, 0080, 0100, 0120, 0150, 0170</w:t>
            </w:r>
          </w:p>
        </w:tc>
        <w:tc>
          <w:tcPr>
            <w:tcW w:w="0" w:type="auto"/>
            <w:hideMark/>
          </w:tcPr>
          <w:p w14:paraId="25A49C06"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Marja de variație</w:t>
            </w:r>
          </w:p>
          <w:p w14:paraId="370256D1" w14:textId="5E0C76C2"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valorile juste ale garanțiilor reale primite sau furnizate ca marjă de variație.</w:t>
            </w:r>
          </w:p>
        </w:tc>
      </w:tr>
      <w:tr w:rsidR="003A0695" w:rsidRPr="009F3ADA" w14:paraId="15D47F0B" w14:textId="77777777" w:rsidTr="001E5BEB">
        <w:trPr>
          <w:trHeight w:val="1941"/>
        </w:trPr>
        <w:tc>
          <w:tcPr>
            <w:tcW w:w="0" w:type="auto"/>
            <w:hideMark/>
          </w:tcPr>
          <w:p w14:paraId="195EFEBF"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0130, 0180</w:t>
            </w:r>
          </w:p>
        </w:tc>
        <w:tc>
          <w:tcPr>
            <w:tcW w:w="0" w:type="auto"/>
            <w:hideMark/>
          </w:tcPr>
          <w:p w14:paraId="6C5F9676"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Titlul de valoare din cadrul SFT</w:t>
            </w:r>
          </w:p>
          <w:p w14:paraId="2A1C2C19" w14:textId="63706CF3" w:rsidR="003A0695" w:rsidRPr="009F3ADA" w:rsidRDefault="007C37CB"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3A0695" w:rsidRPr="009F3ADA">
              <w:rPr>
                <w:rFonts w:ascii="Times New Roman" w:eastAsia="Times New Roman" w:hAnsi="Times New Roman" w:cs="Times New Roman"/>
                <w:sz w:val="24"/>
                <w:szCs w:val="24"/>
                <w:lang w:eastAsia="ro-MD"/>
              </w:rPr>
              <w:t xml:space="preserve"> raportează valorile juste ale garanțiilor reale sub formă de titlu de valoare din cadrul SFT-urilor (de exemplu, segmentul SFT reprezentat de un titlu de valoare care a fost primit, în cazul coloanei 0130, sau furnizat, în cazul coloanei 0180).</w:t>
            </w:r>
          </w:p>
        </w:tc>
      </w:tr>
    </w:tbl>
    <w:p w14:paraId="5B72EE19" w14:textId="77777777"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pPr>
    </w:p>
    <w:tbl>
      <w:tblPr>
        <w:tblStyle w:val="TableGrid"/>
        <w:tblW w:w="8886" w:type="dxa"/>
        <w:tblLook w:val="04A0" w:firstRow="1" w:lastRow="0" w:firstColumn="1" w:lastColumn="0" w:noHBand="0" w:noVBand="1"/>
      </w:tblPr>
      <w:tblGrid>
        <w:gridCol w:w="2151"/>
        <w:gridCol w:w="6735"/>
      </w:tblGrid>
      <w:tr w:rsidR="003A0695" w:rsidRPr="009F3ADA" w14:paraId="1ED72FA0" w14:textId="77777777" w:rsidTr="001E5BEB">
        <w:trPr>
          <w:trHeight w:val="236"/>
        </w:trPr>
        <w:tc>
          <w:tcPr>
            <w:tcW w:w="0" w:type="auto"/>
            <w:gridSpan w:val="2"/>
            <w:hideMark/>
          </w:tcPr>
          <w:p w14:paraId="63250900" w14:textId="77777777" w:rsidR="003A0695" w:rsidRPr="009F3ADA" w:rsidRDefault="003A0695" w:rsidP="003A0695">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Rânduri</w:t>
            </w:r>
          </w:p>
        </w:tc>
      </w:tr>
      <w:tr w:rsidR="003A0695" w:rsidRPr="009F3ADA" w14:paraId="16796FE2" w14:textId="77777777" w:rsidTr="001E5BEB">
        <w:trPr>
          <w:trHeight w:val="972"/>
        </w:trPr>
        <w:tc>
          <w:tcPr>
            <w:tcW w:w="0" w:type="auto"/>
            <w:hideMark/>
          </w:tcPr>
          <w:p w14:paraId="404AD2CF"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 – 0080</w:t>
            </w:r>
          </w:p>
        </w:tc>
        <w:tc>
          <w:tcPr>
            <w:tcW w:w="0" w:type="auto"/>
            <w:hideMark/>
          </w:tcPr>
          <w:p w14:paraId="11862632" w14:textId="77777777"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Tipul de garanție reală</w:t>
            </w:r>
          </w:p>
          <w:p w14:paraId="6273FB38" w14:textId="72B9CF8B" w:rsidR="003A0695" w:rsidRPr="009F3ADA" w:rsidRDefault="003A0695" w:rsidP="003A0695">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Defalcare pe tipuri diferite de garanții reale</w:t>
            </w:r>
            <w:r w:rsidR="003B52A6" w:rsidRPr="009F3ADA">
              <w:rPr>
                <w:rFonts w:ascii="Times New Roman" w:eastAsia="Times New Roman" w:hAnsi="Times New Roman" w:cs="Times New Roman"/>
                <w:sz w:val="24"/>
                <w:szCs w:val="24"/>
                <w:lang w:eastAsia="ro-MD"/>
              </w:rPr>
              <w:t>.</w:t>
            </w:r>
          </w:p>
        </w:tc>
      </w:tr>
    </w:tbl>
    <w:p w14:paraId="1F81EA00" w14:textId="77777777"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2358B46"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E67B1CD"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20DFF6D"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E19F70A"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46D91CAC"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600E7A0"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C248859"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099B8A0" w14:textId="77777777" w:rsidR="003A0695" w:rsidRPr="009F3ADA" w:rsidRDefault="003A0695"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AAF5BE6" w14:textId="77777777" w:rsidR="003A0695" w:rsidRPr="009F3ADA" w:rsidRDefault="003A0695" w:rsidP="003A0695">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3A0695" w:rsidRPr="009F3ADA" w:rsidSect="003A0695">
          <w:pgSz w:w="11906" w:h="16838" w:code="9"/>
          <w:pgMar w:top="1134" w:right="851" w:bottom="1134" w:left="1701" w:header="709" w:footer="709" w:gutter="0"/>
          <w:cols w:space="708"/>
          <w:docGrid w:linePitch="360"/>
        </w:sectPr>
      </w:pPr>
    </w:p>
    <w:p w14:paraId="5AD8A6A3" w14:textId="0173E098" w:rsidR="003A0695" w:rsidRPr="009F3ADA" w:rsidRDefault="00FE43B4" w:rsidP="003A06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lastRenderedPageBreak/>
        <w:t>Formularul</w:t>
      </w:r>
      <w:r w:rsidR="003A0695" w:rsidRPr="009F3ADA">
        <w:rPr>
          <w:rFonts w:ascii="Times New Roman" w:eastAsia="Times New Roman" w:hAnsi="Times New Roman" w:cs="Times New Roman"/>
          <w:b/>
          <w:bCs/>
          <w:color w:val="000000"/>
          <w:sz w:val="27"/>
          <w:szCs w:val="27"/>
          <w:lang w:eastAsia="ro-MD"/>
        </w:rPr>
        <w:t xml:space="preserve"> raportului</w:t>
      </w:r>
    </w:p>
    <w:p w14:paraId="5BC2B1DA" w14:textId="77777777" w:rsidR="001102FE" w:rsidRPr="009F3ADA" w:rsidRDefault="001102FE" w:rsidP="003A069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C 34.09 RISCUL DE CREDIT AL CONTRAPĂRȚII: EXPUNERI DIN INSTRUMENTE FINANCIARE DERIVATE DE CREDIT (CCR 9)</w:t>
      </w:r>
    </w:p>
    <w:tbl>
      <w:tblPr>
        <w:tblStyle w:val="TableGrid"/>
        <w:tblW w:w="14789" w:type="dxa"/>
        <w:tblLook w:val="04A0" w:firstRow="1" w:lastRow="0" w:firstColumn="1" w:lastColumn="0" w:noHBand="0" w:noVBand="1"/>
      </w:tblPr>
      <w:tblGrid>
        <w:gridCol w:w="616"/>
        <w:gridCol w:w="4943"/>
        <w:gridCol w:w="2435"/>
        <w:gridCol w:w="2180"/>
        <w:gridCol w:w="2435"/>
        <w:gridCol w:w="2180"/>
      </w:tblGrid>
      <w:tr w:rsidR="003A0695" w:rsidRPr="009F3ADA" w14:paraId="5F945DC6" w14:textId="77777777" w:rsidTr="001E5BEB">
        <w:trPr>
          <w:trHeight w:val="273"/>
        </w:trPr>
        <w:tc>
          <w:tcPr>
            <w:tcW w:w="0" w:type="auto"/>
            <w:gridSpan w:val="2"/>
            <w:vMerge w:val="restart"/>
            <w:hideMark/>
          </w:tcPr>
          <w:p w14:paraId="572DD20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bookmarkStart w:id="21" w:name="_Hlk202192749"/>
            <w:r w:rsidRPr="009F3ADA">
              <w:rPr>
                <w:rFonts w:ascii="Times New Roman" w:eastAsia="Times New Roman" w:hAnsi="Times New Roman" w:cs="Times New Roman"/>
                <w:b/>
                <w:bCs/>
                <w:sz w:val="20"/>
                <w:szCs w:val="20"/>
                <w:lang w:eastAsia="ro-MD"/>
              </w:rPr>
              <w:t>Tipul de produs</w:t>
            </w:r>
          </w:p>
        </w:tc>
        <w:tc>
          <w:tcPr>
            <w:tcW w:w="0" w:type="auto"/>
            <w:gridSpan w:val="2"/>
            <w:hideMark/>
          </w:tcPr>
          <w:p w14:paraId="13DF74F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CUANTUMURI NOȚIONALE</w:t>
            </w:r>
          </w:p>
        </w:tc>
        <w:tc>
          <w:tcPr>
            <w:tcW w:w="0" w:type="auto"/>
            <w:gridSpan w:val="2"/>
            <w:hideMark/>
          </w:tcPr>
          <w:p w14:paraId="7E961AF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VALORI JUSTE</w:t>
            </w:r>
          </w:p>
        </w:tc>
      </w:tr>
      <w:tr w:rsidR="003A0695" w:rsidRPr="009F3ADA" w14:paraId="02563B13" w14:textId="77777777" w:rsidTr="001E5BEB">
        <w:trPr>
          <w:trHeight w:val="65"/>
        </w:trPr>
        <w:tc>
          <w:tcPr>
            <w:tcW w:w="0" w:type="auto"/>
            <w:gridSpan w:val="2"/>
            <w:vMerge/>
            <w:hideMark/>
          </w:tcPr>
          <w:p w14:paraId="59DE670B" w14:textId="77777777" w:rsidR="001102FE" w:rsidRPr="009F3ADA" w:rsidRDefault="001102FE" w:rsidP="001102FE">
            <w:pPr>
              <w:rPr>
                <w:rFonts w:ascii="Times New Roman" w:eastAsia="Times New Roman" w:hAnsi="Times New Roman" w:cs="Times New Roman"/>
                <w:b/>
                <w:bCs/>
                <w:sz w:val="20"/>
                <w:szCs w:val="20"/>
                <w:lang w:eastAsia="ro-MD"/>
              </w:rPr>
            </w:pPr>
          </w:p>
        </w:tc>
        <w:tc>
          <w:tcPr>
            <w:tcW w:w="0" w:type="auto"/>
            <w:hideMark/>
          </w:tcPr>
          <w:p w14:paraId="4424035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PROTECȚIA CUMPĂRATĂ</w:t>
            </w:r>
          </w:p>
        </w:tc>
        <w:tc>
          <w:tcPr>
            <w:tcW w:w="0" w:type="auto"/>
            <w:hideMark/>
          </w:tcPr>
          <w:p w14:paraId="34A0DB2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PROTECȚIA VÂNDUTĂ</w:t>
            </w:r>
          </w:p>
        </w:tc>
        <w:tc>
          <w:tcPr>
            <w:tcW w:w="0" w:type="auto"/>
            <w:hideMark/>
          </w:tcPr>
          <w:p w14:paraId="1A032F2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PROTECȚIA CUMPĂRATĂ</w:t>
            </w:r>
          </w:p>
        </w:tc>
        <w:tc>
          <w:tcPr>
            <w:tcW w:w="0" w:type="auto"/>
            <w:hideMark/>
          </w:tcPr>
          <w:p w14:paraId="0734741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PROTECȚIA VÂNDUTĂ</w:t>
            </w:r>
          </w:p>
        </w:tc>
      </w:tr>
      <w:tr w:rsidR="003A0695" w:rsidRPr="009F3ADA" w14:paraId="57729DDE" w14:textId="77777777" w:rsidTr="001E5BEB">
        <w:trPr>
          <w:trHeight w:val="65"/>
        </w:trPr>
        <w:tc>
          <w:tcPr>
            <w:tcW w:w="0" w:type="auto"/>
            <w:gridSpan w:val="2"/>
            <w:vMerge/>
            <w:hideMark/>
          </w:tcPr>
          <w:p w14:paraId="4124FB87" w14:textId="77777777" w:rsidR="001102FE" w:rsidRPr="009F3ADA" w:rsidRDefault="001102FE" w:rsidP="001102FE">
            <w:pPr>
              <w:rPr>
                <w:rFonts w:ascii="Times New Roman" w:eastAsia="Times New Roman" w:hAnsi="Times New Roman" w:cs="Times New Roman"/>
                <w:b/>
                <w:bCs/>
                <w:sz w:val="20"/>
                <w:szCs w:val="20"/>
                <w:lang w:eastAsia="ro-MD"/>
              </w:rPr>
            </w:pPr>
          </w:p>
        </w:tc>
        <w:tc>
          <w:tcPr>
            <w:tcW w:w="0" w:type="auto"/>
            <w:hideMark/>
          </w:tcPr>
          <w:p w14:paraId="42D249A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0010</w:t>
            </w:r>
          </w:p>
        </w:tc>
        <w:tc>
          <w:tcPr>
            <w:tcW w:w="0" w:type="auto"/>
            <w:hideMark/>
          </w:tcPr>
          <w:p w14:paraId="186073D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0020</w:t>
            </w:r>
          </w:p>
        </w:tc>
        <w:tc>
          <w:tcPr>
            <w:tcW w:w="0" w:type="auto"/>
            <w:hideMark/>
          </w:tcPr>
          <w:p w14:paraId="4748053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0030</w:t>
            </w:r>
          </w:p>
        </w:tc>
        <w:tc>
          <w:tcPr>
            <w:tcW w:w="0" w:type="auto"/>
            <w:hideMark/>
          </w:tcPr>
          <w:p w14:paraId="30FC3B10"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0"/>
                <w:szCs w:val="20"/>
                <w:lang w:eastAsia="ro-MD"/>
              </w:rPr>
            </w:pPr>
            <w:r w:rsidRPr="009F3ADA">
              <w:rPr>
                <w:rFonts w:ascii="Times New Roman" w:eastAsia="Times New Roman" w:hAnsi="Times New Roman" w:cs="Times New Roman"/>
                <w:b/>
                <w:bCs/>
                <w:sz w:val="20"/>
                <w:szCs w:val="20"/>
                <w:lang w:eastAsia="ro-MD"/>
              </w:rPr>
              <w:t>0040</w:t>
            </w:r>
          </w:p>
        </w:tc>
      </w:tr>
      <w:tr w:rsidR="003A0695" w:rsidRPr="009F3ADA" w14:paraId="4F06BB54" w14:textId="77777777" w:rsidTr="001E5BEB">
        <w:trPr>
          <w:trHeight w:val="480"/>
        </w:trPr>
        <w:tc>
          <w:tcPr>
            <w:tcW w:w="0" w:type="auto"/>
            <w:hideMark/>
          </w:tcPr>
          <w:p w14:paraId="631F2B4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0010</w:t>
            </w:r>
          </w:p>
        </w:tc>
        <w:tc>
          <w:tcPr>
            <w:tcW w:w="0" w:type="auto"/>
            <w:hideMark/>
          </w:tcPr>
          <w:p w14:paraId="3DCD517D"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xml:space="preserve">Instrumente de tipul credit </w:t>
            </w:r>
            <w:proofErr w:type="spellStart"/>
            <w:r w:rsidRPr="009F3ADA">
              <w:rPr>
                <w:rFonts w:ascii="Times New Roman" w:eastAsia="Times New Roman" w:hAnsi="Times New Roman" w:cs="Times New Roman"/>
                <w:sz w:val="20"/>
                <w:szCs w:val="20"/>
                <w:lang w:eastAsia="ro-MD"/>
              </w:rPr>
              <w:t>default</w:t>
            </w:r>
            <w:proofErr w:type="spellEnd"/>
            <w:r w:rsidRPr="009F3ADA">
              <w:rPr>
                <w:rFonts w:ascii="Times New Roman" w:eastAsia="Times New Roman" w:hAnsi="Times New Roman" w:cs="Times New Roman"/>
                <w:sz w:val="20"/>
                <w:szCs w:val="20"/>
                <w:lang w:eastAsia="ro-MD"/>
              </w:rPr>
              <w:t xml:space="preserve"> </w:t>
            </w:r>
            <w:proofErr w:type="spellStart"/>
            <w:r w:rsidRPr="009F3ADA">
              <w:rPr>
                <w:rFonts w:ascii="Times New Roman" w:eastAsia="Times New Roman" w:hAnsi="Times New Roman" w:cs="Times New Roman"/>
                <w:sz w:val="20"/>
                <w:szCs w:val="20"/>
                <w:lang w:eastAsia="ro-MD"/>
              </w:rPr>
              <w:t>swap</w:t>
            </w:r>
            <w:proofErr w:type="spellEnd"/>
            <w:r w:rsidRPr="009F3ADA">
              <w:rPr>
                <w:rFonts w:ascii="Times New Roman" w:eastAsia="Times New Roman" w:hAnsi="Times New Roman" w:cs="Times New Roman"/>
                <w:sz w:val="20"/>
                <w:szCs w:val="20"/>
                <w:lang w:eastAsia="ro-MD"/>
              </w:rPr>
              <w:t xml:space="preserve"> având la bază o singură semnătură</w:t>
            </w:r>
          </w:p>
        </w:tc>
        <w:tc>
          <w:tcPr>
            <w:tcW w:w="0" w:type="auto"/>
            <w:hideMark/>
          </w:tcPr>
          <w:p w14:paraId="08BBEF72"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2CDDA362"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4DD1BE91" w14:textId="77777777" w:rsidR="001102FE" w:rsidRPr="009F3ADA" w:rsidRDefault="001102FE" w:rsidP="003A0695">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288A3F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4C9867FC" w14:textId="77777777" w:rsidTr="001E5BEB">
        <w:trPr>
          <w:trHeight w:val="332"/>
        </w:trPr>
        <w:tc>
          <w:tcPr>
            <w:tcW w:w="0" w:type="auto"/>
            <w:hideMark/>
          </w:tcPr>
          <w:p w14:paraId="504D70BD"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0020</w:t>
            </w:r>
          </w:p>
        </w:tc>
        <w:tc>
          <w:tcPr>
            <w:tcW w:w="0" w:type="auto"/>
            <w:hideMark/>
          </w:tcPr>
          <w:p w14:paraId="45EAF0BB"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xml:space="preserve">Instrumente de tipul credit </w:t>
            </w:r>
            <w:proofErr w:type="spellStart"/>
            <w:r w:rsidRPr="009F3ADA">
              <w:rPr>
                <w:rFonts w:ascii="Times New Roman" w:eastAsia="Times New Roman" w:hAnsi="Times New Roman" w:cs="Times New Roman"/>
                <w:sz w:val="20"/>
                <w:szCs w:val="20"/>
                <w:lang w:eastAsia="ro-MD"/>
              </w:rPr>
              <w:t>default</w:t>
            </w:r>
            <w:proofErr w:type="spellEnd"/>
            <w:r w:rsidRPr="009F3ADA">
              <w:rPr>
                <w:rFonts w:ascii="Times New Roman" w:eastAsia="Times New Roman" w:hAnsi="Times New Roman" w:cs="Times New Roman"/>
                <w:sz w:val="20"/>
                <w:szCs w:val="20"/>
                <w:lang w:eastAsia="ro-MD"/>
              </w:rPr>
              <w:t xml:space="preserve"> </w:t>
            </w:r>
            <w:proofErr w:type="spellStart"/>
            <w:r w:rsidRPr="009F3ADA">
              <w:rPr>
                <w:rFonts w:ascii="Times New Roman" w:eastAsia="Times New Roman" w:hAnsi="Times New Roman" w:cs="Times New Roman"/>
                <w:sz w:val="20"/>
                <w:szCs w:val="20"/>
                <w:lang w:eastAsia="ro-MD"/>
              </w:rPr>
              <w:t>swap</w:t>
            </w:r>
            <w:proofErr w:type="spellEnd"/>
            <w:r w:rsidRPr="009F3ADA">
              <w:rPr>
                <w:rFonts w:ascii="Times New Roman" w:eastAsia="Times New Roman" w:hAnsi="Times New Roman" w:cs="Times New Roman"/>
                <w:sz w:val="20"/>
                <w:szCs w:val="20"/>
                <w:lang w:eastAsia="ro-MD"/>
              </w:rPr>
              <w:t xml:space="preserve"> bazate pe indici</w:t>
            </w:r>
          </w:p>
        </w:tc>
        <w:tc>
          <w:tcPr>
            <w:tcW w:w="0" w:type="auto"/>
            <w:hideMark/>
          </w:tcPr>
          <w:p w14:paraId="61220941"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71C9DBDA"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680420D8"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16CF8FB"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766FEFB2" w14:textId="77777777" w:rsidTr="001E5BEB">
        <w:trPr>
          <w:trHeight w:val="338"/>
        </w:trPr>
        <w:tc>
          <w:tcPr>
            <w:tcW w:w="0" w:type="auto"/>
            <w:hideMark/>
          </w:tcPr>
          <w:p w14:paraId="0DDA0E3C"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0030</w:t>
            </w:r>
          </w:p>
        </w:tc>
        <w:tc>
          <w:tcPr>
            <w:tcW w:w="0" w:type="auto"/>
            <w:hideMark/>
          </w:tcPr>
          <w:p w14:paraId="0160D104"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xml:space="preserve">Instrumente de tipul total </w:t>
            </w:r>
            <w:proofErr w:type="spellStart"/>
            <w:r w:rsidRPr="009F3ADA">
              <w:rPr>
                <w:rFonts w:ascii="Times New Roman" w:eastAsia="Times New Roman" w:hAnsi="Times New Roman" w:cs="Times New Roman"/>
                <w:sz w:val="20"/>
                <w:szCs w:val="20"/>
                <w:lang w:eastAsia="ro-MD"/>
              </w:rPr>
              <w:t>return</w:t>
            </w:r>
            <w:proofErr w:type="spellEnd"/>
            <w:r w:rsidRPr="009F3ADA">
              <w:rPr>
                <w:rFonts w:ascii="Times New Roman" w:eastAsia="Times New Roman" w:hAnsi="Times New Roman" w:cs="Times New Roman"/>
                <w:sz w:val="20"/>
                <w:szCs w:val="20"/>
                <w:lang w:eastAsia="ro-MD"/>
              </w:rPr>
              <w:t xml:space="preserve"> </w:t>
            </w:r>
            <w:proofErr w:type="spellStart"/>
            <w:r w:rsidRPr="009F3ADA">
              <w:rPr>
                <w:rFonts w:ascii="Times New Roman" w:eastAsia="Times New Roman" w:hAnsi="Times New Roman" w:cs="Times New Roman"/>
                <w:sz w:val="20"/>
                <w:szCs w:val="20"/>
                <w:lang w:eastAsia="ro-MD"/>
              </w:rPr>
              <w:t>swap</w:t>
            </w:r>
            <w:proofErr w:type="spellEnd"/>
          </w:p>
        </w:tc>
        <w:tc>
          <w:tcPr>
            <w:tcW w:w="0" w:type="auto"/>
            <w:hideMark/>
          </w:tcPr>
          <w:p w14:paraId="7A3F4949"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68EB769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2C3295F1"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2BAF12C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2816C549" w14:textId="77777777" w:rsidTr="001E5BEB">
        <w:trPr>
          <w:trHeight w:val="253"/>
        </w:trPr>
        <w:tc>
          <w:tcPr>
            <w:tcW w:w="0" w:type="auto"/>
            <w:hideMark/>
          </w:tcPr>
          <w:p w14:paraId="3F4B8197"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0040</w:t>
            </w:r>
          </w:p>
        </w:tc>
        <w:tc>
          <w:tcPr>
            <w:tcW w:w="0" w:type="auto"/>
            <w:hideMark/>
          </w:tcPr>
          <w:p w14:paraId="4EB7567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Opțiuni de credit</w:t>
            </w:r>
          </w:p>
        </w:tc>
        <w:tc>
          <w:tcPr>
            <w:tcW w:w="0" w:type="auto"/>
            <w:hideMark/>
          </w:tcPr>
          <w:p w14:paraId="6A7E1B67"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2EE3363"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735FED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3D7E0F1E"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316061DA" w14:textId="77777777" w:rsidTr="001E5BEB">
        <w:trPr>
          <w:trHeight w:val="264"/>
        </w:trPr>
        <w:tc>
          <w:tcPr>
            <w:tcW w:w="0" w:type="auto"/>
            <w:hideMark/>
          </w:tcPr>
          <w:p w14:paraId="0C9B5272"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0050</w:t>
            </w:r>
          </w:p>
        </w:tc>
        <w:tc>
          <w:tcPr>
            <w:tcW w:w="0" w:type="auto"/>
            <w:hideMark/>
          </w:tcPr>
          <w:p w14:paraId="3DB6997C"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Alte instrumente financiare derivate de credit</w:t>
            </w:r>
          </w:p>
        </w:tc>
        <w:tc>
          <w:tcPr>
            <w:tcW w:w="0" w:type="auto"/>
            <w:hideMark/>
          </w:tcPr>
          <w:p w14:paraId="212AFB1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8F09C4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11A7CBE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6D45FF4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767A2258" w14:textId="77777777" w:rsidTr="001E5BEB">
        <w:trPr>
          <w:trHeight w:val="122"/>
        </w:trPr>
        <w:tc>
          <w:tcPr>
            <w:tcW w:w="0" w:type="auto"/>
            <w:hideMark/>
          </w:tcPr>
          <w:p w14:paraId="5996AE41"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0060</w:t>
            </w:r>
          </w:p>
        </w:tc>
        <w:tc>
          <w:tcPr>
            <w:tcW w:w="0" w:type="auto"/>
            <w:hideMark/>
          </w:tcPr>
          <w:p w14:paraId="04A7C716"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Total</w:t>
            </w:r>
          </w:p>
        </w:tc>
        <w:tc>
          <w:tcPr>
            <w:tcW w:w="0" w:type="auto"/>
            <w:hideMark/>
          </w:tcPr>
          <w:p w14:paraId="338D57CE"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506E583F"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343C3DA2"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0615340A"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1102FE" w:rsidRPr="009F3ADA" w14:paraId="65E66975" w14:textId="77777777" w:rsidTr="001E5BEB">
        <w:trPr>
          <w:trHeight w:val="129"/>
        </w:trPr>
        <w:tc>
          <w:tcPr>
            <w:tcW w:w="0" w:type="auto"/>
            <w:gridSpan w:val="6"/>
            <w:hideMark/>
          </w:tcPr>
          <w:p w14:paraId="46848B72"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DEFALCAREA VALORII JUSTE</w:t>
            </w:r>
          </w:p>
        </w:tc>
      </w:tr>
      <w:tr w:rsidR="003A0695" w:rsidRPr="009F3ADA" w14:paraId="05B8768E" w14:textId="77777777" w:rsidTr="00601AC1">
        <w:trPr>
          <w:trHeight w:val="406"/>
        </w:trPr>
        <w:tc>
          <w:tcPr>
            <w:tcW w:w="0" w:type="auto"/>
            <w:hideMark/>
          </w:tcPr>
          <w:p w14:paraId="53688D90"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0070</w:t>
            </w:r>
          </w:p>
        </w:tc>
        <w:tc>
          <w:tcPr>
            <w:tcW w:w="0" w:type="auto"/>
            <w:hideMark/>
          </w:tcPr>
          <w:p w14:paraId="6D0BA1E7"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Valoarea justă pozitivă (active)</w:t>
            </w:r>
          </w:p>
        </w:tc>
        <w:tc>
          <w:tcPr>
            <w:tcW w:w="0" w:type="auto"/>
          </w:tcPr>
          <w:p w14:paraId="724F1DE4" w14:textId="0B464C1C" w:rsidR="001102FE" w:rsidRPr="009F3ADA" w:rsidRDefault="00601AC1" w:rsidP="00601AC1">
            <w:pPr>
              <w:spacing w:before="100" w:beforeAutospacing="1" w:after="100" w:afterAutospacing="1"/>
              <w:jc w:val="center"/>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X</w:t>
            </w:r>
          </w:p>
        </w:tc>
        <w:tc>
          <w:tcPr>
            <w:tcW w:w="0" w:type="auto"/>
          </w:tcPr>
          <w:p w14:paraId="603AA126" w14:textId="22E28805" w:rsidR="001102FE" w:rsidRPr="009F3ADA" w:rsidRDefault="00601AC1" w:rsidP="00601AC1">
            <w:pPr>
              <w:spacing w:before="100" w:beforeAutospacing="1" w:after="100" w:afterAutospacing="1"/>
              <w:jc w:val="center"/>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X</w:t>
            </w:r>
          </w:p>
        </w:tc>
        <w:tc>
          <w:tcPr>
            <w:tcW w:w="0" w:type="auto"/>
            <w:hideMark/>
          </w:tcPr>
          <w:p w14:paraId="4445093E"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27807295"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tr w:rsidR="003A0695" w:rsidRPr="009F3ADA" w14:paraId="37AAE90C" w14:textId="77777777" w:rsidTr="00601AC1">
        <w:trPr>
          <w:trHeight w:val="342"/>
        </w:trPr>
        <w:tc>
          <w:tcPr>
            <w:tcW w:w="0" w:type="auto"/>
            <w:hideMark/>
          </w:tcPr>
          <w:p w14:paraId="10A8D073"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0080</w:t>
            </w:r>
          </w:p>
        </w:tc>
        <w:tc>
          <w:tcPr>
            <w:tcW w:w="0" w:type="auto"/>
            <w:hideMark/>
          </w:tcPr>
          <w:p w14:paraId="37517B5C"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Valoarea justă negativă (datorii)</w:t>
            </w:r>
          </w:p>
        </w:tc>
        <w:tc>
          <w:tcPr>
            <w:tcW w:w="0" w:type="auto"/>
          </w:tcPr>
          <w:p w14:paraId="4BF63902" w14:textId="099F0EEB" w:rsidR="001102FE" w:rsidRPr="009F3ADA" w:rsidRDefault="00601AC1" w:rsidP="00601AC1">
            <w:pPr>
              <w:spacing w:before="100" w:beforeAutospacing="1" w:after="100" w:afterAutospacing="1"/>
              <w:jc w:val="center"/>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X</w:t>
            </w:r>
          </w:p>
        </w:tc>
        <w:tc>
          <w:tcPr>
            <w:tcW w:w="0" w:type="auto"/>
          </w:tcPr>
          <w:p w14:paraId="3FF5F198" w14:textId="6788E3FB" w:rsidR="001102FE" w:rsidRPr="009F3ADA" w:rsidRDefault="00601AC1" w:rsidP="00601AC1">
            <w:pPr>
              <w:spacing w:before="100" w:beforeAutospacing="1" w:after="100" w:afterAutospacing="1"/>
              <w:jc w:val="center"/>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X</w:t>
            </w:r>
          </w:p>
        </w:tc>
        <w:tc>
          <w:tcPr>
            <w:tcW w:w="0" w:type="auto"/>
            <w:hideMark/>
          </w:tcPr>
          <w:p w14:paraId="59423553"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c>
          <w:tcPr>
            <w:tcW w:w="0" w:type="auto"/>
            <w:hideMark/>
          </w:tcPr>
          <w:p w14:paraId="5C049A93" w14:textId="77777777" w:rsidR="001102FE" w:rsidRPr="009F3ADA" w:rsidRDefault="001102FE" w:rsidP="001102FE">
            <w:pPr>
              <w:spacing w:before="100" w:beforeAutospacing="1" w:after="100" w:afterAutospacing="1"/>
              <w:rPr>
                <w:rFonts w:ascii="Times New Roman" w:eastAsia="Times New Roman" w:hAnsi="Times New Roman" w:cs="Times New Roman"/>
                <w:sz w:val="20"/>
                <w:szCs w:val="20"/>
                <w:lang w:eastAsia="ro-MD"/>
              </w:rPr>
            </w:pPr>
            <w:r w:rsidRPr="009F3ADA">
              <w:rPr>
                <w:rFonts w:ascii="Times New Roman" w:eastAsia="Times New Roman" w:hAnsi="Times New Roman" w:cs="Times New Roman"/>
                <w:sz w:val="20"/>
                <w:szCs w:val="20"/>
                <w:lang w:eastAsia="ro-MD"/>
              </w:rPr>
              <w:t> </w:t>
            </w:r>
          </w:p>
        </w:tc>
      </w:tr>
      <w:bookmarkEnd w:id="21"/>
    </w:tbl>
    <w:p w14:paraId="7E3B46C3" w14:textId="77777777" w:rsidR="00AF0FF6" w:rsidRPr="009F3ADA" w:rsidRDefault="00AF0FF6"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AF0FF6" w:rsidRPr="009F3ADA" w:rsidSect="003A0695">
          <w:pgSz w:w="16838" w:h="11906" w:orient="landscape" w:code="9"/>
          <w:pgMar w:top="1701" w:right="1134" w:bottom="851" w:left="1134" w:header="709" w:footer="709" w:gutter="0"/>
          <w:cols w:space="708"/>
          <w:docGrid w:linePitch="360"/>
        </w:sectPr>
      </w:pPr>
    </w:p>
    <w:p w14:paraId="75AA54DC" w14:textId="4F0263F0" w:rsidR="00AF0FF6" w:rsidRPr="009F3ADA" w:rsidRDefault="00AF0FF6" w:rsidP="00AF0FF6">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lastRenderedPageBreak/>
        <w:t>Modul de completare a raportului</w:t>
      </w:r>
    </w:p>
    <w:p w14:paraId="19CD2F15" w14:textId="77777777" w:rsidR="00FC30DA" w:rsidRPr="009F3ADA" w:rsidRDefault="00AF0FF6" w:rsidP="00FC30DA">
      <w:pPr>
        <w:spacing w:before="100" w:beforeAutospacing="1" w:after="100" w:afterAutospacing="1" w:line="240" w:lineRule="auto"/>
        <w:rPr>
          <w:rFonts w:ascii="Times New Roman" w:eastAsia="Times New Roman" w:hAnsi="Times New Roman" w:cs="Times New Roman"/>
          <w:b/>
          <w:bCs/>
          <w:color w:val="000000"/>
          <w:sz w:val="24"/>
          <w:szCs w:val="24"/>
          <w:lang w:eastAsia="ro-MD"/>
        </w:rPr>
      </w:pPr>
      <w:r w:rsidRPr="009F3ADA">
        <w:rPr>
          <w:rFonts w:ascii="Times New Roman" w:eastAsia="Times New Roman" w:hAnsi="Times New Roman" w:cs="Times New Roman"/>
          <w:b/>
          <w:bCs/>
          <w:color w:val="000000"/>
          <w:sz w:val="24"/>
          <w:szCs w:val="24"/>
          <w:lang w:eastAsia="ro-MD"/>
        </w:rPr>
        <w:t xml:space="preserve">C 34.09 – </w:t>
      </w:r>
      <w:r w:rsidR="00FC30DA" w:rsidRPr="009F3ADA">
        <w:rPr>
          <w:rFonts w:ascii="Times New Roman" w:eastAsia="Times New Roman" w:hAnsi="Times New Roman" w:cs="Times New Roman"/>
          <w:b/>
          <w:bCs/>
          <w:color w:val="000000"/>
          <w:sz w:val="24"/>
          <w:szCs w:val="24"/>
          <w:lang w:eastAsia="ro-MD"/>
        </w:rPr>
        <w:t>RISCUL DE CREDIT AL CONTRAPĂRȚII: EXPUNERI DIN INSTRUMENTE FINANCIARE DERIVATE DE CREDIT (CCR 9)</w:t>
      </w:r>
    </w:p>
    <w:p w14:paraId="1C3E0D84" w14:textId="36178C18" w:rsidR="00AF0FF6" w:rsidRPr="009F3ADA" w:rsidRDefault="00AF0FF6" w:rsidP="00AF0FF6">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t>Instrucțiuni privind anumite poziții</w:t>
      </w:r>
    </w:p>
    <w:tbl>
      <w:tblPr>
        <w:tblStyle w:val="TableGrid"/>
        <w:tblW w:w="9197" w:type="dxa"/>
        <w:tblLook w:val="04A0" w:firstRow="1" w:lastRow="0" w:firstColumn="1" w:lastColumn="0" w:noHBand="0" w:noVBand="1"/>
      </w:tblPr>
      <w:tblGrid>
        <w:gridCol w:w="1125"/>
        <w:gridCol w:w="8072"/>
      </w:tblGrid>
      <w:tr w:rsidR="00AF0FF6" w:rsidRPr="009F3ADA" w14:paraId="1D8B5719" w14:textId="77777777" w:rsidTr="001E5BEB">
        <w:trPr>
          <w:trHeight w:val="54"/>
        </w:trPr>
        <w:tc>
          <w:tcPr>
            <w:tcW w:w="0" w:type="auto"/>
            <w:gridSpan w:val="2"/>
            <w:hideMark/>
          </w:tcPr>
          <w:p w14:paraId="4C0CAE66" w14:textId="77777777" w:rsidR="00AF0FF6" w:rsidRPr="009F3ADA" w:rsidRDefault="00AF0FF6" w:rsidP="00AF0FF6">
            <w:pPr>
              <w:spacing w:before="100" w:beforeAutospacing="1" w:after="100" w:afterAutospacing="1"/>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Coloane</w:t>
            </w:r>
          </w:p>
        </w:tc>
      </w:tr>
      <w:tr w:rsidR="00AF0FF6" w:rsidRPr="009F3ADA" w14:paraId="37E7D3CD" w14:textId="77777777" w:rsidTr="001E5BEB">
        <w:trPr>
          <w:trHeight w:val="431"/>
        </w:trPr>
        <w:tc>
          <w:tcPr>
            <w:tcW w:w="0" w:type="auto"/>
            <w:hideMark/>
          </w:tcPr>
          <w:p w14:paraId="05991DF9"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0010-0040</w:t>
            </w:r>
          </w:p>
        </w:tc>
        <w:tc>
          <w:tcPr>
            <w:tcW w:w="0" w:type="auto"/>
            <w:hideMark/>
          </w:tcPr>
          <w:p w14:paraId="5E1F7C4C"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PROTECȚIA INSTRUMENTELOR DERIVATE DE CREDIT</w:t>
            </w:r>
          </w:p>
          <w:p w14:paraId="78F05B34"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Protecția cumpărată sau vândută a instrumentelor derivate de credit</w:t>
            </w:r>
          </w:p>
        </w:tc>
      </w:tr>
      <w:tr w:rsidR="00AF0FF6" w:rsidRPr="009F3ADA" w14:paraId="72E2A97F" w14:textId="77777777" w:rsidTr="001E5BEB">
        <w:trPr>
          <w:trHeight w:val="491"/>
        </w:trPr>
        <w:tc>
          <w:tcPr>
            <w:tcW w:w="0" w:type="auto"/>
            <w:hideMark/>
          </w:tcPr>
          <w:p w14:paraId="53B52754"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0010, 0020</w:t>
            </w:r>
          </w:p>
        </w:tc>
        <w:tc>
          <w:tcPr>
            <w:tcW w:w="0" w:type="auto"/>
            <w:hideMark/>
          </w:tcPr>
          <w:p w14:paraId="19EC4DA7" w14:textId="77777777" w:rsidR="00530C01" w:rsidRPr="009F3ADA" w:rsidRDefault="00530C01"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 xml:space="preserve">CUANTUMURI NOȚIONALE </w:t>
            </w:r>
          </w:p>
          <w:p w14:paraId="4B1B56ED" w14:textId="095A59DD"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 xml:space="preserve">Suma </w:t>
            </w:r>
            <w:r w:rsidR="00530C01" w:rsidRPr="009F3ADA">
              <w:rPr>
                <w:rFonts w:ascii="Times New Roman" w:eastAsia="Times New Roman" w:hAnsi="Times New Roman" w:cs="Times New Roman"/>
                <w:color w:val="000000"/>
                <w:sz w:val="27"/>
                <w:szCs w:val="27"/>
                <w:lang w:eastAsia="ro-MD"/>
              </w:rPr>
              <w:t>cuantumurilor</w:t>
            </w:r>
            <w:r w:rsidRPr="009F3ADA">
              <w:rPr>
                <w:rFonts w:ascii="Times New Roman" w:eastAsia="Times New Roman" w:hAnsi="Times New Roman" w:cs="Times New Roman"/>
                <w:color w:val="000000"/>
                <w:sz w:val="27"/>
                <w:szCs w:val="27"/>
                <w:lang w:eastAsia="ro-MD"/>
              </w:rPr>
              <w:t xml:space="preserve"> noționale ale instrumentelor financiare derivate înainte de orice compensare, defalcate pe tipuri de produse</w:t>
            </w:r>
          </w:p>
        </w:tc>
      </w:tr>
      <w:tr w:rsidR="00AF0FF6" w:rsidRPr="009F3ADA" w14:paraId="2C14BD30" w14:textId="77777777" w:rsidTr="001E5BEB">
        <w:trPr>
          <w:trHeight w:val="323"/>
        </w:trPr>
        <w:tc>
          <w:tcPr>
            <w:tcW w:w="0" w:type="auto"/>
            <w:hideMark/>
          </w:tcPr>
          <w:p w14:paraId="7C8D6073"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0030, 0040</w:t>
            </w:r>
          </w:p>
        </w:tc>
        <w:tc>
          <w:tcPr>
            <w:tcW w:w="0" w:type="auto"/>
            <w:hideMark/>
          </w:tcPr>
          <w:p w14:paraId="56BA0A98"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VALORILE JUSTE</w:t>
            </w:r>
          </w:p>
          <w:p w14:paraId="3A355BEF"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Suma valorilor juste defalcate în funcție de protecția cumpărată și protecția vândută</w:t>
            </w:r>
          </w:p>
        </w:tc>
      </w:tr>
    </w:tbl>
    <w:p w14:paraId="55F04636" w14:textId="77777777" w:rsidR="00AF0FF6" w:rsidRPr="009F3ADA" w:rsidRDefault="00AF0FF6" w:rsidP="00AF0FF6">
      <w:pPr>
        <w:spacing w:before="100" w:beforeAutospacing="1" w:after="100" w:afterAutospacing="1" w:line="240" w:lineRule="auto"/>
        <w:rPr>
          <w:rFonts w:ascii="Times New Roman" w:eastAsia="Times New Roman" w:hAnsi="Times New Roman" w:cs="Times New Roman"/>
          <w:color w:val="000000"/>
          <w:sz w:val="27"/>
          <w:szCs w:val="27"/>
          <w:lang w:eastAsia="ro-MD"/>
        </w:rPr>
      </w:pPr>
    </w:p>
    <w:tbl>
      <w:tblPr>
        <w:tblStyle w:val="TableGrid"/>
        <w:tblW w:w="9155" w:type="dxa"/>
        <w:tblLook w:val="04A0" w:firstRow="1" w:lastRow="0" w:firstColumn="1" w:lastColumn="0" w:noHBand="0" w:noVBand="1"/>
      </w:tblPr>
      <w:tblGrid>
        <w:gridCol w:w="1242"/>
        <w:gridCol w:w="7913"/>
      </w:tblGrid>
      <w:tr w:rsidR="00AF0FF6" w:rsidRPr="009F3ADA" w14:paraId="25BAD2D5" w14:textId="77777777" w:rsidTr="001E5BEB">
        <w:trPr>
          <w:trHeight w:val="120"/>
        </w:trPr>
        <w:tc>
          <w:tcPr>
            <w:tcW w:w="0" w:type="auto"/>
            <w:gridSpan w:val="2"/>
            <w:hideMark/>
          </w:tcPr>
          <w:p w14:paraId="7DC26572" w14:textId="77777777" w:rsidR="00AF0FF6" w:rsidRPr="009F3ADA" w:rsidRDefault="00AF0FF6" w:rsidP="00AF0FF6">
            <w:pPr>
              <w:spacing w:before="100" w:beforeAutospacing="1" w:after="100" w:afterAutospacing="1"/>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Rânduri</w:t>
            </w:r>
          </w:p>
        </w:tc>
      </w:tr>
      <w:tr w:rsidR="00AF0FF6" w:rsidRPr="009F3ADA" w14:paraId="457BC93E" w14:textId="77777777" w:rsidTr="001E5BEB">
        <w:trPr>
          <w:trHeight w:val="577"/>
        </w:trPr>
        <w:tc>
          <w:tcPr>
            <w:tcW w:w="0" w:type="auto"/>
            <w:hideMark/>
          </w:tcPr>
          <w:p w14:paraId="0B36F825"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0010 – 0050</w:t>
            </w:r>
          </w:p>
        </w:tc>
        <w:tc>
          <w:tcPr>
            <w:tcW w:w="0" w:type="auto"/>
            <w:hideMark/>
          </w:tcPr>
          <w:p w14:paraId="56DA50D9"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Tipul de produs</w:t>
            </w:r>
          </w:p>
          <w:p w14:paraId="105C7186"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Defalcarea tipurilor de produse derivate de credit</w:t>
            </w:r>
          </w:p>
        </w:tc>
      </w:tr>
      <w:tr w:rsidR="00AF0FF6" w:rsidRPr="009F3ADA" w14:paraId="084AA8B0" w14:textId="77777777" w:rsidTr="001E5BEB">
        <w:trPr>
          <w:trHeight w:val="463"/>
        </w:trPr>
        <w:tc>
          <w:tcPr>
            <w:tcW w:w="0" w:type="auto"/>
            <w:hideMark/>
          </w:tcPr>
          <w:p w14:paraId="38E425C4"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0060</w:t>
            </w:r>
          </w:p>
        </w:tc>
        <w:tc>
          <w:tcPr>
            <w:tcW w:w="0" w:type="auto"/>
            <w:hideMark/>
          </w:tcPr>
          <w:p w14:paraId="2389ACAB"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Total</w:t>
            </w:r>
          </w:p>
          <w:p w14:paraId="73B1D524"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Suma tuturor tipurilor de produse</w:t>
            </w:r>
          </w:p>
        </w:tc>
      </w:tr>
      <w:tr w:rsidR="00AF0FF6" w:rsidRPr="009F3ADA" w14:paraId="6DFAD8B9" w14:textId="77777777" w:rsidTr="001E5BEB">
        <w:trPr>
          <w:trHeight w:val="931"/>
        </w:trPr>
        <w:tc>
          <w:tcPr>
            <w:tcW w:w="0" w:type="auto"/>
            <w:hideMark/>
          </w:tcPr>
          <w:p w14:paraId="33361CEA"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0070, 0080</w:t>
            </w:r>
          </w:p>
        </w:tc>
        <w:tc>
          <w:tcPr>
            <w:tcW w:w="0" w:type="auto"/>
            <w:hideMark/>
          </w:tcPr>
          <w:p w14:paraId="3E000098"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Valorile juste</w:t>
            </w:r>
          </w:p>
          <w:p w14:paraId="21239AEA" w14:textId="77777777" w:rsidR="00AF0FF6" w:rsidRPr="009F3ADA" w:rsidRDefault="00AF0FF6" w:rsidP="00AF0FF6">
            <w:pPr>
              <w:spacing w:before="100" w:beforeAutospacing="1" w:after="100" w:afterAutospacing="1"/>
              <w:rPr>
                <w:rFonts w:ascii="Times New Roman" w:eastAsia="Times New Roman" w:hAnsi="Times New Roman" w:cs="Times New Roman"/>
                <w:color w:val="000000"/>
                <w:sz w:val="27"/>
                <w:szCs w:val="27"/>
                <w:lang w:eastAsia="ro-MD"/>
              </w:rPr>
            </w:pPr>
            <w:r w:rsidRPr="009F3ADA">
              <w:rPr>
                <w:rFonts w:ascii="Times New Roman" w:eastAsia="Times New Roman" w:hAnsi="Times New Roman" w:cs="Times New Roman"/>
                <w:color w:val="000000"/>
                <w:sz w:val="27"/>
                <w:szCs w:val="27"/>
                <w:lang w:eastAsia="ro-MD"/>
              </w:rPr>
              <w:t>Valorile juste defalcate pe tipuri de produse, precum și pe active (valori juste pozitive) și datorii (valori juste negative)</w:t>
            </w:r>
          </w:p>
        </w:tc>
      </w:tr>
    </w:tbl>
    <w:p w14:paraId="32BB3D90"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55BA3243" w14:textId="77777777" w:rsidR="00AF0FF6" w:rsidRPr="009F3ADA" w:rsidRDefault="00AF0FF6"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2F0193CC"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1D5554" w:rsidRPr="009F3ADA" w:rsidSect="00AF0FF6">
          <w:pgSz w:w="11906" w:h="16838" w:code="9"/>
          <w:pgMar w:top="1134" w:right="851" w:bottom="1134" w:left="1701" w:header="709" w:footer="709" w:gutter="0"/>
          <w:cols w:space="708"/>
          <w:docGrid w:linePitch="360"/>
        </w:sectPr>
      </w:pPr>
    </w:p>
    <w:p w14:paraId="6F74B123" w14:textId="5F0E3F95" w:rsidR="001D5554" w:rsidRPr="009F3ADA" w:rsidRDefault="001D5554" w:rsidP="005173A5">
      <w:pPr>
        <w:spacing w:before="100" w:beforeAutospacing="1" w:after="100" w:afterAutospacing="1" w:line="240" w:lineRule="auto"/>
        <w:jc w:val="center"/>
        <w:rPr>
          <w:rFonts w:ascii="Times New Roman" w:eastAsia="Times New Roman" w:hAnsi="Times New Roman" w:cs="Times New Roman"/>
          <w:color w:val="000000"/>
          <w:sz w:val="24"/>
          <w:szCs w:val="24"/>
          <w:lang w:eastAsia="ro-MD"/>
        </w:rPr>
      </w:pPr>
      <w:r w:rsidRPr="009F3ADA">
        <w:rPr>
          <w:rFonts w:ascii="Times New Roman" w:eastAsia="Calibri" w:hAnsi="Times New Roman" w:cs="Times New Roman"/>
          <w:b/>
          <w:sz w:val="24"/>
          <w:szCs w:val="24"/>
        </w:rPr>
        <w:lastRenderedPageBreak/>
        <w:t xml:space="preserve">PREZENTAREA GENERALĂ A </w:t>
      </w:r>
      <w:r w:rsidRPr="009F3ADA">
        <w:rPr>
          <w:rFonts w:ascii="Times New Roman" w:eastAsia="Times New Roman" w:hAnsi="Times New Roman" w:cs="Times New Roman"/>
          <w:b/>
          <w:bCs/>
          <w:sz w:val="24"/>
          <w:szCs w:val="24"/>
          <w:lang w:eastAsia="ro-MD"/>
        </w:rPr>
        <w:t xml:space="preserve">RAPORTĂRII PRIVIND RISCUL DE CREDIT AL CONTRAPĂRȚII: </w:t>
      </w:r>
      <w:r w:rsidRPr="009F3ADA">
        <w:rPr>
          <w:rFonts w:ascii="Times New Roman" w:eastAsia="Times New Roman" w:hAnsi="Times New Roman" w:cs="Times New Roman"/>
          <w:b/>
          <w:bCs/>
          <w:color w:val="000000"/>
          <w:sz w:val="24"/>
          <w:szCs w:val="24"/>
          <w:lang w:eastAsia="ro-MD"/>
        </w:rPr>
        <w:t>EXPUNERI FAȚĂ DE CPC-URI (CCR 10)</w:t>
      </w:r>
    </w:p>
    <w:p w14:paraId="7AFDA335" w14:textId="226FAD9D" w:rsidR="003B52A6" w:rsidRPr="009F3ADA" w:rsidRDefault="007C37CB" w:rsidP="005173A5">
      <w:pPr>
        <w:spacing w:before="100" w:beforeAutospacing="1" w:after="100" w:afterAutospacing="1"/>
        <w:jc w:val="both"/>
        <w:rPr>
          <w:rFonts w:ascii="Times New Roman" w:eastAsia="Times New Roman" w:hAnsi="Times New Roman" w:cs="Times New Roman"/>
          <w:b/>
          <w:bCs/>
          <w:color w:val="000000"/>
          <w:sz w:val="24"/>
          <w:szCs w:val="24"/>
          <w:lang w:eastAsia="ro-MD"/>
        </w:rPr>
      </w:pPr>
      <w:r w:rsidRPr="009F3ADA">
        <w:rPr>
          <w:rFonts w:ascii="Times New Roman" w:eastAsia="Times New Roman" w:hAnsi="Times New Roman" w:cs="Times New Roman"/>
          <w:color w:val="000000"/>
          <w:sz w:val="24"/>
          <w:szCs w:val="24"/>
          <w:lang w:eastAsia="ro-MD"/>
        </w:rPr>
        <w:t>Băncile</w:t>
      </w:r>
      <w:r w:rsidR="001D5554" w:rsidRPr="009F3ADA">
        <w:rPr>
          <w:rFonts w:ascii="Times New Roman" w:eastAsia="Times New Roman" w:hAnsi="Times New Roman" w:cs="Times New Roman"/>
          <w:color w:val="000000"/>
          <w:sz w:val="24"/>
          <w:szCs w:val="24"/>
          <w:lang w:eastAsia="ro-MD"/>
        </w:rPr>
        <w:t xml:space="preserve"> raportează informațiile privind expunerile față de CPC, și anume contractele și tranzacțiile enumerate la </w:t>
      </w:r>
      <w:r w:rsidR="00173B0F" w:rsidRPr="009F3ADA">
        <w:rPr>
          <w:rFonts w:ascii="Times New Roman" w:eastAsia="Times New Roman" w:hAnsi="Times New Roman" w:cs="Times New Roman"/>
          <w:color w:val="000000"/>
          <w:sz w:val="24"/>
          <w:szCs w:val="24"/>
          <w:lang w:eastAsia="ro-MD"/>
        </w:rPr>
        <w:t>punct</w:t>
      </w:r>
      <w:r w:rsidR="002F61CD" w:rsidRPr="009F3ADA">
        <w:rPr>
          <w:rFonts w:ascii="Times New Roman" w:eastAsia="Times New Roman" w:hAnsi="Times New Roman" w:cs="Times New Roman"/>
          <w:color w:val="000000"/>
          <w:sz w:val="24"/>
          <w:szCs w:val="24"/>
          <w:lang w:eastAsia="ro-MD"/>
        </w:rPr>
        <w:t>e</w:t>
      </w:r>
      <w:r w:rsidR="00173B0F" w:rsidRPr="009F3ADA">
        <w:rPr>
          <w:rFonts w:ascii="Times New Roman" w:eastAsia="Times New Roman" w:hAnsi="Times New Roman" w:cs="Times New Roman"/>
          <w:color w:val="000000"/>
          <w:sz w:val="24"/>
          <w:szCs w:val="24"/>
          <w:lang w:eastAsia="ro-MD"/>
        </w:rPr>
        <w:t>l</w:t>
      </w:r>
      <w:r w:rsidR="002F61CD" w:rsidRPr="009F3ADA">
        <w:rPr>
          <w:rFonts w:ascii="Times New Roman" w:eastAsia="Times New Roman" w:hAnsi="Times New Roman" w:cs="Times New Roman"/>
          <w:color w:val="000000"/>
          <w:sz w:val="24"/>
          <w:szCs w:val="24"/>
          <w:lang w:eastAsia="ro-MD"/>
        </w:rPr>
        <w:t>e</w:t>
      </w:r>
      <w:r w:rsidR="00173B0F" w:rsidRPr="009F3ADA">
        <w:rPr>
          <w:rFonts w:ascii="Times New Roman" w:eastAsia="Times New Roman" w:hAnsi="Times New Roman" w:cs="Times New Roman"/>
          <w:color w:val="000000"/>
          <w:sz w:val="24"/>
          <w:szCs w:val="24"/>
          <w:lang w:eastAsia="ro-MD"/>
        </w:rPr>
        <w:t xml:space="preserve"> 1</w:t>
      </w:r>
      <w:r w:rsidR="00CE3ECD" w:rsidRPr="009F3ADA">
        <w:rPr>
          <w:rFonts w:ascii="Times New Roman" w:eastAsia="Times New Roman" w:hAnsi="Times New Roman" w:cs="Times New Roman"/>
          <w:color w:val="000000"/>
          <w:sz w:val="24"/>
          <w:szCs w:val="24"/>
          <w:lang w:eastAsia="ro-MD"/>
        </w:rPr>
        <w:t>2</w:t>
      </w:r>
      <w:r w:rsidR="002F61CD" w:rsidRPr="009F3ADA">
        <w:rPr>
          <w:rFonts w:ascii="Times New Roman" w:eastAsia="Times New Roman" w:hAnsi="Times New Roman" w:cs="Times New Roman"/>
          <w:color w:val="000000"/>
          <w:sz w:val="24"/>
          <w:szCs w:val="24"/>
          <w:lang w:eastAsia="ro-MD"/>
        </w:rPr>
        <w:t>5 și 126</w:t>
      </w:r>
      <w:r w:rsidR="00173B0F" w:rsidRPr="009F3ADA">
        <w:rPr>
          <w:rFonts w:ascii="Times New Roman" w:eastAsia="Times New Roman" w:hAnsi="Times New Roman" w:cs="Times New Roman"/>
          <w:color w:val="000000"/>
          <w:sz w:val="24"/>
          <w:szCs w:val="24"/>
          <w:lang w:eastAsia="ro-MD"/>
        </w:rPr>
        <w:t xml:space="preserve"> din </w:t>
      </w:r>
      <w:bookmarkStart w:id="22" w:name="_Hlk195778382"/>
      <w:r w:rsidR="00173B0F" w:rsidRPr="009F3ADA">
        <w:rPr>
          <w:rFonts w:ascii="Times New Roman" w:eastAsia="Times New Roman" w:hAnsi="Times New Roman" w:cs="Times New Roman"/>
          <w:color w:val="000000"/>
          <w:sz w:val="24"/>
          <w:szCs w:val="24"/>
          <w:lang w:eastAsia="ro-MD"/>
        </w:rPr>
        <w:t xml:space="preserve">Regulamentul </w:t>
      </w:r>
      <w:r w:rsidR="00ED3A84" w:rsidRPr="009F3ADA">
        <w:rPr>
          <w:rFonts w:ascii="Times New Roman" w:eastAsia="Times New Roman" w:hAnsi="Times New Roman" w:cs="Times New Roman"/>
          <w:color w:val="000000"/>
          <w:sz w:val="24"/>
          <w:szCs w:val="24"/>
          <w:lang w:eastAsia="ro-MD"/>
        </w:rPr>
        <w:t xml:space="preserve">nr.220/2025 </w:t>
      </w:r>
      <w:r w:rsidR="00173B0F" w:rsidRPr="009F3ADA">
        <w:rPr>
          <w:rFonts w:ascii="Times New Roman" w:eastAsia="Times New Roman" w:hAnsi="Times New Roman" w:cs="Times New Roman"/>
          <w:color w:val="000000"/>
          <w:sz w:val="24"/>
          <w:szCs w:val="24"/>
          <w:lang w:eastAsia="ro-MD"/>
        </w:rPr>
        <w:t xml:space="preserve">cu privire la tratamentul riscului de credit al </w:t>
      </w:r>
      <w:proofErr w:type="spellStart"/>
      <w:r w:rsidR="00173B0F" w:rsidRPr="009F3ADA">
        <w:rPr>
          <w:rFonts w:ascii="Times New Roman" w:eastAsia="Times New Roman" w:hAnsi="Times New Roman" w:cs="Times New Roman"/>
          <w:color w:val="000000"/>
          <w:sz w:val="24"/>
          <w:szCs w:val="24"/>
          <w:lang w:eastAsia="ro-MD"/>
        </w:rPr>
        <w:t>contrapărţii</w:t>
      </w:r>
      <w:proofErr w:type="spellEnd"/>
      <w:r w:rsidR="00173B0F" w:rsidRPr="009F3ADA">
        <w:rPr>
          <w:rFonts w:ascii="Times New Roman" w:eastAsia="Times New Roman" w:hAnsi="Times New Roman" w:cs="Times New Roman"/>
          <w:color w:val="000000"/>
          <w:sz w:val="24"/>
          <w:szCs w:val="24"/>
          <w:lang w:eastAsia="ro-MD"/>
        </w:rPr>
        <w:t xml:space="preserve"> pentru bănci</w:t>
      </w:r>
      <w:bookmarkEnd w:id="22"/>
      <w:r w:rsidR="001D5554" w:rsidRPr="009F3ADA">
        <w:rPr>
          <w:rFonts w:ascii="Times New Roman" w:eastAsia="Times New Roman" w:hAnsi="Times New Roman" w:cs="Times New Roman"/>
          <w:color w:val="000000"/>
          <w:sz w:val="24"/>
          <w:szCs w:val="24"/>
          <w:lang w:eastAsia="ro-MD"/>
        </w:rPr>
        <w:t xml:space="preserve">, atât timp cât acestea sunt în derulare cu o CPC, precum și expunerile din tranzacțiile legate de o CPC, în conformitate cu </w:t>
      </w:r>
      <w:r w:rsidR="00173B0F" w:rsidRPr="009F3ADA">
        <w:rPr>
          <w:rFonts w:ascii="Times New Roman" w:eastAsia="Times New Roman" w:hAnsi="Times New Roman" w:cs="Times New Roman"/>
          <w:color w:val="000000"/>
          <w:sz w:val="24"/>
          <w:szCs w:val="24"/>
          <w:lang w:eastAsia="ro-MD"/>
        </w:rPr>
        <w:t xml:space="preserve">punctul 3 din Regulamentul </w:t>
      </w:r>
      <w:r w:rsidR="00ED3A84" w:rsidRPr="009F3ADA">
        <w:rPr>
          <w:rFonts w:ascii="Times New Roman" w:eastAsia="Times New Roman" w:hAnsi="Times New Roman" w:cs="Times New Roman"/>
          <w:color w:val="000000"/>
          <w:sz w:val="24"/>
          <w:szCs w:val="24"/>
          <w:lang w:eastAsia="ro-MD"/>
        </w:rPr>
        <w:t xml:space="preserve">nr.220/2025 </w:t>
      </w:r>
      <w:r w:rsidR="00173B0F" w:rsidRPr="009F3ADA">
        <w:rPr>
          <w:rFonts w:ascii="Times New Roman" w:eastAsia="Times New Roman" w:hAnsi="Times New Roman" w:cs="Times New Roman"/>
          <w:color w:val="000000"/>
          <w:sz w:val="24"/>
          <w:szCs w:val="24"/>
          <w:lang w:eastAsia="ro-MD"/>
        </w:rPr>
        <w:t xml:space="preserve">cu privire la tratamentul riscului de credit al </w:t>
      </w:r>
      <w:proofErr w:type="spellStart"/>
      <w:r w:rsidR="00173B0F" w:rsidRPr="009F3ADA">
        <w:rPr>
          <w:rFonts w:ascii="Times New Roman" w:eastAsia="Times New Roman" w:hAnsi="Times New Roman" w:cs="Times New Roman"/>
          <w:color w:val="000000"/>
          <w:sz w:val="24"/>
          <w:szCs w:val="24"/>
          <w:lang w:eastAsia="ro-MD"/>
        </w:rPr>
        <w:t>contrapărţii</w:t>
      </w:r>
      <w:proofErr w:type="spellEnd"/>
      <w:r w:rsidR="00173B0F" w:rsidRPr="009F3ADA">
        <w:rPr>
          <w:rFonts w:ascii="Times New Roman" w:eastAsia="Times New Roman" w:hAnsi="Times New Roman" w:cs="Times New Roman"/>
          <w:color w:val="000000"/>
          <w:sz w:val="24"/>
          <w:szCs w:val="24"/>
          <w:lang w:eastAsia="ro-MD"/>
        </w:rPr>
        <w:t xml:space="preserve"> pentru bănci</w:t>
      </w:r>
      <w:r w:rsidR="001D5554" w:rsidRPr="009F3ADA">
        <w:rPr>
          <w:rFonts w:ascii="Times New Roman" w:eastAsia="Times New Roman" w:hAnsi="Times New Roman" w:cs="Times New Roman"/>
          <w:color w:val="000000"/>
          <w:sz w:val="24"/>
          <w:szCs w:val="24"/>
          <w:lang w:eastAsia="ro-MD"/>
        </w:rPr>
        <w:t xml:space="preserve">, pentru care cerințele de fonduri proprii sunt calculate în conformitate cu </w:t>
      </w:r>
      <w:r w:rsidR="003B52A6" w:rsidRPr="009F3ADA">
        <w:rPr>
          <w:rFonts w:ascii="Times New Roman" w:eastAsia="Times New Roman" w:hAnsi="Times New Roman" w:cs="Times New Roman"/>
          <w:color w:val="000000"/>
          <w:sz w:val="24"/>
          <w:szCs w:val="24"/>
          <w:lang w:eastAsia="ro-MD"/>
        </w:rPr>
        <w:t>Capitolul VIII „</w:t>
      </w:r>
      <w:proofErr w:type="spellStart"/>
      <w:r w:rsidR="003B52A6" w:rsidRPr="009F3ADA">
        <w:rPr>
          <w:rFonts w:ascii="Times New Roman" w:eastAsia="Times New Roman" w:hAnsi="Times New Roman" w:cs="Times New Roman"/>
          <w:color w:val="000000"/>
          <w:sz w:val="24"/>
          <w:szCs w:val="24"/>
          <w:lang w:eastAsia="ro-MD"/>
        </w:rPr>
        <w:t>Cerinţele</w:t>
      </w:r>
      <w:proofErr w:type="spellEnd"/>
      <w:r w:rsidR="003B52A6" w:rsidRPr="009F3ADA">
        <w:rPr>
          <w:rFonts w:ascii="Times New Roman" w:eastAsia="Times New Roman" w:hAnsi="Times New Roman" w:cs="Times New Roman"/>
          <w:color w:val="000000"/>
          <w:sz w:val="24"/>
          <w:szCs w:val="24"/>
          <w:lang w:eastAsia="ro-MD"/>
        </w:rPr>
        <w:t xml:space="preserve"> de fonduri proprii pentru expunerile față de o </w:t>
      </w:r>
      <w:proofErr w:type="spellStart"/>
      <w:r w:rsidR="003B52A6" w:rsidRPr="009F3ADA">
        <w:rPr>
          <w:rFonts w:ascii="Times New Roman" w:eastAsia="Times New Roman" w:hAnsi="Times New Roman" w:cs="Times New Roman"/>
          <w:color w:val="000000"/>
          <w:sz w:val="24"/>
          <w:szCs w:val="24"/>
          <w:lang w:eastAsia="ro-MD"/>
        </w:rPr>
        <w:t>contaparte</w:t>
      </w:r>
      <w:proofErr w:type="spellEnd"/>
      <w:r w:rsidR="003B52A6" w:rsidRPr="009F3ADA">
        <w:rPr>
          <w:rFonts w:ascii="Times New Roman" w:eastAsia="Times New Roman" w:hAnsi="Times New Roman" w:cs="Times New Roman"/>
          <w:color w:val="000000"/>
          <w:sz w:val="24"/>
          <w:szCs w:val="24"/>
          <w:lang w:eastAsia="ro-MD"/>
        </w:rPr>
        <w:t xml:space="preserve"> centrală” din Regulamentul </w:t>
      </w:r>
      <w:r w:rsidR="00ED3A84" w:rsidRPr="009F3ADA">
        <w:rPr>
          <w:rFonts w:ascii="Times New Roman" w:eastAsia="Times New Roman" w:hAnsi="Times New Roman" w:cs="Times New Roman"/>
          <w:color w:val="000000"/>
          <w:sz w:val="24"/>
          <w:szCs w:val="24"/>
          <w:lang w:eastAsia="ro-MD"/>
        </w:rPr>
        <w:t xml:space="preserve">nr.220/2025 </w:t>
      </w:r>
      <w:r w:rsidR="003B52A6" w:rsidRPr="009F3ADA">
        <w:rPr>
          <w:rFonts w:ascii="Times New Roman" w:eastAsia="Times New Roman" w:hAnsi="Times New Roman" w:cs="Times New Roman"/>
          <w:color w:val="000000"/>
          <w:sz w:val="24"/>
          <w:szCs w:val="24"/>
          <w:lang w:eastAsia="ro-MD"/>
        </w:rPr>
        <w:t xml:space="preserve">cu privire la tratamentul riscului de credit al </w:t>
      </w:r>
      <w:proofErr w:type="spellStart"/>
      <w:r w:rsidR="003B52A6" w:rsidRPr="009F3ADA">
        <w:rPr>
          <w:rFonts w:ascii="Times New Roman" w:eastAsia="Times New Roman" w:hAnsi="Times New Roman" w:cs="Times New Roman"/>
          <w:color w:val="000000"/>
          <w:sz w:val="24"/>
          <w:szCs w:val="24"/>
          <w:lang w:eastAsia="ro-MD"/>
        </w:rPr>
        <w:t>contrapărţii</w:t>
      </w:r>
      <w:proofErr w:type="spellEnd"/>
      <w:r w:rsidR="003B52A6" w:rsidRPr="009F3ADA">
        <w:rPr>
          <w:rFonts w:ascii="Times New Roman" w:eastAsia="Times New Roman" w:hAnsi="Times New Roman" w:cs="Times New Roman"/>
          <w:color w:val="000000"/>
          <w:sz w:val="24"/>
          <w:szCs w:val="24"/>
          <w:lang w:eastAsia="ro-MD"/>
        </w:rPr>
        <w:t xml:space="preserve"> pentru bănci.</w:t>
      </w:r>
    </w:p>
    <w:p w14:paraId="072C28CA" w14:textId="77777777" w:rsidR="00AF0FF6" w:rsidRPr="009F3ADA" w:rsidRDefault="00AF0FF6"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C93F7B0" w14:textId="77777777" w:rsidR="00AF0FF6" w:rsidRPr="009F3ADA" w:rsidRDefault="00AF0FF6"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1C1E2B3"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1D5554" w:rsidRPr="009F3ADA" w:rsidSect="00AF0FF6">
          <w:pgSz w:w="11906" w:h="16838" w:code="9"/>
          <w:pgMar w:top="1134" w:right="851" w:bottom="1134" w:left="1701" w:header="709" w:footer="709" w:gutter="0"/>
          <w:cols w:space="708"/>
          <w:docGrid w:linePitch="360"/>
        </w:sectPr>
      </w:pPr>
    </w:p>
    <w:p w14:paraId="0F462C1C" w14:textId="557BD11A" w:rsidR="001D5554" w:rsidRPr="009F3ADA" w:rsidRDefault="00FE43B4" w:rsidP="001D555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bookmarkStart w:id="23" w:name="_Hlk190360334"/>
      <w:r w:rsidRPr="009F3ADA">
        <w:rPr>
          <w:rFonts w:ascii="Times New Roman" w:eastAsia="Times New Roman" w:hAnsi="Times New Roman" w:cs="Times New Roman"/>
          <w:b/>
          <w:bCs/>
          <w:color w:val="000000"/>
          <w:sz w:val="27"/>
          <w:szCs w:val="27"/>
          <w:lang w:eastAsia="ro-MD"/>
        </w:rPr>
        <w:lastRenderedPageBreak/>
        <w:t>Formularul</w:t>
      </w:r>
      <w:r w:rsidR="001D5554" w:rsidRPr="009F3ADA">
        <w:rPr>
          <w:rFonts w:ascii="Times New Roman" w:eastAsia="Times New Roman" w:hAnsi="Times New Roman" w:cs="Times New Roman"/>
          <w:b/>
          <w:bCs/>
          <w:color w:val="000000"/>
          <w:sz w:val="27"/>
          <w:szCs w:val="27"/>
          <w:lang w:eastAsia="ro-MD"/>
        </w:rPr>
        <w:t xml:space="preserve"> raportului</w:t>
      </w:r>
    </w:p>
    <w:p w14:paraId="2564F6D1" w14:textId="731532AE" w:rsidR="001102FE" w:rsidRPr="009F3ADA" w:rsidRDefault="001102FE" w:rsidP="001D5554">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o-MD"/>
        </w:rPr>
      </w:pPr>
      <w:r w:rsidRPr="009F3ADA">
        <w:rPr>
          <w:rFonts w:ascii="Times New Roman" w:eastAsia="Times New Roman" w:hAnsi="Times New Roman" w:cs="Times New Roman"/>
          <w:b/>
          <w:bCs/>
          <w:color w:val="000000"/>
          <w:sz w:val="27"/>
          <w:szCs w:val="27"/>
          <w:lang w:eastAsia="ro-MD"/>
        </w:rPr>
        <w:t xml:space="preserve">C 34.10 </w:t>
      </w:r>
      <w:bookmarkStart w:id="24" w:name="_Hlk202270679"/>
      <w:r w:rsidRPr="009F3ADA">
        <w:rPr>
          <w:rFonts w:ascii="Times New Roman" w:eastAsia="Times New Roman" w:hAnsi="Times New Roman" w:cs="Times New Roman"/>
          <w:b/>
          <w:bCs/>
          <w:color w:val="000000"/>
          <w:sz w:val="27"/>
          <w:szCs w:val="27"/>
          <w:lang w:eastAsia="ro-MD"/>
        </w:rPr>
        <w:t>RISCUL DE CREDIT AL CONTRAPĂRȚII: EXPUNERI FAȚĂ DE CPC-URI (CCR 10)</w:t>
      </w:r>
      <w:bookmarkEnd w:id="24"/>
    </w:p>
    <w:tbl>
      <w:tblPr>
        <w:tblStyle w:val="TableGrid"/>
        <w:tblW w:w="14109" w:type="dxa"/>
        <w:tblLook w:val="04A0" w:firstRow="1" w:lastRow="0" w:firstColumn="1" w:lastColumn="0" w:noHBand="0" w:noVBand="1"/>
      </w:tblPr>
      <w:tblGrid>
        <w:gridCol w:w="696"/>
        <w:gridCol w:w="6950"/>
        <w:gridCol w:w="2192"/>
        <w:gridCol w:w="4271"/>
      </w:tblGrid>
      <w:tr w:rsidR="001D5554" w:rsidRPr="009F3ADA" w14:paraId="01F5341E" w14:textId="77777777" w:rsidTr="001E5BEB">
        <w:trPr>
          <w:trHeight w:val="963"/>
        </w:trPr>
        <w:tc>
          <w:tcPr>
            <w:tcW w:w="0" w:type="auto"/>
            <w:gridSpan w:val="2"/>
            <w:vMerge w:val="restart"/>
            <w:hideMark/>
          </w:tcPr>
          <w:bookmarkEnd w:id="23"/>
          <w:p w14:paraId="2D5D86B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w:t>
            </w:r>
          </w:p>
        </w:tc>
        <w:tc>
          <w:tcPr>
            <w:tcW w:w="0" w:type="auto"/>
            <w:hideMark/>
          </w:tcPr>
          <w:p w14:paraId="78051B2D" w14:textId="77777777" w:rsidR="001102FE" w:rsidRPr="009F3ADA" w:rsidRDefault="001102FE" w:rsidP="001D5554">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VALOAREA EXPUNERII</w:t>
            </w:r>
          </w:p>
        </w:tc>
        <w:tc>
          <w:tcPr>
            <w:tcW w:w="0" w:type="auto"/>
            <w:hideMark/>
          </w:tcPr>
          <w:p w14:paraId="76F0763F" w14:textId="77777777" w:rsidR="001102FE" w:rsidRPr="009F3ADA" w:rsidRDefault="001102FE" w:rsidP="001D5554">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CUANTUMURILE PONDERATE LA RISC ALE EXPUNERII</w:t>
            </w:r>
          </w:p>
        </w:tc>
      </w:tr>
      <w:tr w:rsidR="001D5554" w:rsidRPr="009F3ADA" w14:paraId="375C0D23" w14:textId="77777777" w:rsidTr="001E5BEB">
        <w:trPr>
          <w:trHeight w:val="118"/>
        </w:trPr>
        <w:tc>
          <w:tcPr>
            <w:tcW w:w="0" w:type="auto"/>
            <w:gridSpan w:val="2"/>
            <w:vMerge/>
            <w:hideMark/>
          </w:tcPr>
          <w:p w14:paraId="36DD25A9" w14:textId="77777777" w:rsidR="001102FE" w:rsidRPr="009F3ADA" w:rsidRDefault="001102FE" w:rsidP="001102FE">
            <w:pPr>
              <w:rPr>
                <w:rFonts w:ascii="Times New Roman" w:eastAsia="Times New Roman" w:hAnsi="Times New Roman" w:cs="Times New Roman"/>
                <w:b/>
                <w:bCs/>
                <w:sz w:val="24"/>
                <w:szCs w:val="24"/>
                <w:lang w:eastAsia="ro-MD"/>
              </w:rPr>
            </w:pPr>
          </w:p>
        </w:tc>
        <w:tc>
          <w:tcPr>
            <w:tcW w:w="0" w:type="auto"/>
            <w:hideMark/>
          </w:tcPr>
          <w:p w14:paraId="5CFA982A" w14:textId="77777777" w:rsidR="001102FE" w:rsidRPr="009F3ADA" w:rsidRDefault="001102FE" w:rsidP="001D5554">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0010</w:t>
            </w:r>
          </w:p>
        </w:tc>
        <w:tc>
          <w:tcPr>
            <w:tcW w:w="0" w:type="auto"/>
            <w:hideMark/>
          </w:tcPr>
          <w:p w14:paraId="14AC76F3" w14:textId="77777777" w:rsidR="001102FE" w:rsidRPr="009F3ADA" w:rsidRDefault="001102FE" w:rsidP="001D5554">
            <w:pPr>
              <w:spacing w:before="100" w:beforeAutospacing="1" w:after="100" w:afterAutospacing="1"/>
              <w:jc w:val="center"/>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0020</w:t>
            </w:r>
          </w:p>
        </w:tc>
      </w:tr>
      <w:tr w:rsidR="001D5554" w:rsidRPr="009F3ADA" w14:paraId="654064F9" w14:textId="77777777" w:rsidTr="001E5BEB">
        <w:trPr>
          <w:trHeight w:val="462"/>
        </w:trPr>
        <w:tc>
          <w:tcPr>
            <w:tcW w:w="0" w:type="auto"/>
            <w:hideMark/>
          </w:tcPr>
          <w:p w14:paraId="6170CEC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0010</w:t>
            </w:r>
          </w:p>
        </w:tc>
        <w:tc>
          <w:tcPr>
            <w:tcW w:w="0" w:type="auto"/>
            <w:hideMark/>
          </w:tcPr>
          <w:p w14:paraId="3FB9AB0B"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Expuneri față de CPCC (total)</w:t>
            </w:r>
          </w:p>
        </w:tc>
        <w:tc>
          <w:tcPr>
            <w:tcW w:w="0" w:type="auto"/>
            <w:hideMark/>
          </w:tcPr>
          <w:p w14:paraId="50E39D69" w14:textId="286FAFCF" w:rsidR="001102FE" w:rsidRPr="009F3ADA" w:rsidRDefault="00444BD7" w:rsidP="00444BD7">
            <w:pPr>
              <w:spacing w:before="100" w:beforeAutospacing="1" w:after="100" w:afterAutospacing="1"/>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X</w:t>
            </w:r>
          </w:p>
        </w:tc>
        <w:tc>
          <w:tcPr>
            <w:tcW w:w="0" w:type="auto"/>
            <w:hideMark/>
          </w:tcPr>
          <w:p w14:paraId="471AABDF" w14:textId="5FB86F57"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5976696C" w14:textId="77777777" w:rsidTr="001E5BEB">
        <w:trPr>
          <w:trHeight w:val="628"/>
        </w:trPr>
        <w:tc>
          <w:tcPr>
            <w:tcW w:w="0" w:type="auto"/>
            <w:hideMark/>
          </w:tcPr>
          <w:p w14:paraId="726E91E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0020</w:t>
            </w:r>
          </w:p>
        </w:tc>
        <w:tc>
          <w:tcPr>
            <w:tcW w:w="0" w:type="auto"/>
            <w:hideMark/>
          </w:tcPr>
          <w:p w14:paraId="16E1196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Expuneri pentru tranzacții la CPCC (cu excepția marjei inițiale și a contribuțiilor la fondul de garantare); din care:</w:t>
            </w:r>
          </w:p>
        </w:tc>
        <w:tc>
          <w:tcPr>
            <w:tcW w:w="0" w:type="auto"/>
            <w:hideMark/>
          </w:tcPr>
          <w:p w14:paraId="549831E6" w14:textId="41943FF6"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6DBF2835" w14:textId="6F6694A9"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74E73BB5" w14:textId="77777777" w:rsidTr="001E5BEB">
        <w:trPr>
          <w:trHeight w:val="468"/>
        </w:trPr>
        <w:tc>
          <w:tcPr>
            <w:tcW w:w="0" w:type="auto"/>
            <w:hideMark/>
          </w:tcPr>
          <w:p w14:paraId="2EB72AEE"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0030</w:t>
            </w:r>
          </w:p>
        </w:tc>
        <w:tc>
          <w:tcPr>
            <w:tcW w:w="0" w:type="auto"/>
            <w:hideMark/>
          </w:tcPr>
          <w:p w14:paraId="43F6A60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xml:space="preserve">(i)  instrumente financiare derivate </w:t>
            </w:r>
            <w:proofErr w:type="spellStart"/>
            <w:r w:rsidRPr="009F3ADA">
              <w:rPr>
                <w:rFonts w:ascii="Times New Roman" w:eastAsia="Times New Roman" w:hAnsi="Times New Roman" w:cs="Times New Roman"/>
                <w:b/>
                <w:bCs/>
                <w:sz w:val="24"/>
                <w:szCs w:val="24"/>
                <w:lang w:eastAsia="ro-MD"/>
              </w:rPr>
              <w:t>extrabursiere</w:t>
            </w:r>
            <w:proofErr w:type="spellEnd"/>
          </w:p>
        </w:tc>
        <w:tc>
          <w:tcPr>
            <w:tcW w:w="0" w:type="auto"/>
            <w:hideMark/>
          </w:tcPr>
          <w:p w14:paraId="684B6162" w14:textId="4D61FE7F"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2EE3D175" w14:textId="436D2594"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22F24FCE" w14:textId="77777777" w:rsidTr="001E5BEB">
        <w:trPr>
          <w:trHeight w:val="334"/>
        </w:trPr>
        <w:tc>
          <w:tcPr>
            <w:tcW w:w="0" w:type="auto"/>
            <w:hideMark/>
          </w:tcPr>
          <w:p w14:paraId="65EA968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0040</w:t>
            </w:r>
          </w:p>
        </w:tc>
        <w:tc>
          <w:tcPr>
            <w:tcW w:w="0" w:type="auto"/>
            <w:hideMark/>
          </w:tcPr>
          <w:p w14:paraId="739D719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(ii)  instrumente financiare derivate tranzacționate la bursă</w:t>
            </w:r>
          </w:p>
        </w:tc>
        <w:tc>
          <w:tcPr>
            <w:tcW w:w="0" w:type="auto"/>
            <w:hideMark/>
          </w:tcPr>
          <w:p w14:paraId="7A1C7331" w14:textId="4D4777A1"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307C1304" w14:textId="49C545A9"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0416099E" w14:textId="77777777" w:rsidTr="001E5BEB">
        <w:trPr>
          <w:trHeight w:val="118"/>
        </w:trPr>
        <w:tc>
          <w:tcPr>
            <w:tcW w:w="0" w:type="auto"/>
            <w:hideMark/>
          </w:tcPr>
          <w:p w14:paraId="44EC530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0050</w:t>
            </w:r>
          </w:p>
        </w:tc>
        <w:tc>
          <w:tcPr>
            <w:tcW w:w="0" w:type="auto"/>
            <w:hideMark/>
          </w:tcPr>
          <w:p w14:paraId="3939E81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(iii)  SFT</w:t>
            </w:r>
          </w:p>
        </w:tc>
        <w:tc>
          <w:tcPr>
            <w:tcW w:w="0" w:type="auto"/>
            <w:hideMark/>
          </w:tcPr>
          <w:p w14:paraId="7D88BAAD" w14:textId="300E4CFF"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016E6B46" w14:textId="2FAC9BFE"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441C6DD9" w14:textId="77777777" w:rsidTr="001E5BEB">
        <w:trPr>
          <w:trHeight w:val="118"/>
        </w:trPr>
        <w:tc>
          <w:tcPr>
            <w:tcW w:w="0" w:type="auto"/>
            <w:hideMark/>
          </w:tcPr>
          <w:p w14:paraId="5C7B93D1"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0060</w:t>
            </w:r>
          </w:p>
        </w:tc>
        <w:tc>
          <w:tcPr>
            <w:tcW w:w="0" w:type="auto"/>
            <w:hideMark/>
          </w:tcPr>
          <w:p w14:paraId="0BE29EB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(iv)  seturi de compensare în cazul cărora s-a aprobat compensarea între produse diferite</w:t>
            </w:r>
          </w:p>
        </w:tc>
        <w:tc>
          <w:tcPr>
            <w:tcW w:w="0" w:type="auto"/>
            <w:hideMark/>
          </w:tcPr>
          <w:p w14:paraId="0FEF8848" w14:textId="0BE93273"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734BF5AA" w14:textId="0C410AB8"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6152C47F" w14:textId="77777777" w:rsidTr="001E5BEB">
        <w:trPr>
          <w:trHeight w:val="118"/>
        </w:trPr>
        <w:tc>
          <w:tcPr>
            <w:tcW w:w="0" w:type="auto"/>
            <w:hideMark/>
          </w:tcPr>
          <w:p w14:paraId="11AEF7A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0070</w:t>
            </w:r>
          </w:p>
        </w:tc>
        <w:tc>
          <w:tcPr>
            <w:tcW w:w="0" w:type="auto"/>
            <w:hideMark/>
          </w:tcPr>
          <w:p w14:paraId="0060532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Marjă inițială segregată</w:t>
            </w:r>
          </w:p>
        </w:tc>
        <w:tc>
          <w:tcPr>
            <w:tcW w:w="0" w:type="auto"/>
            <w:hideMark/>
          </w:tcPr>
          <w:p w14:paraId="0A62FEED" w14:textId="3644FD60"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12DA71F7" w14:textId="0FB91F20" w:rsidR="001102FE" w:rsidRPr="009F3ADA" w:rsidRDefault="00444BD7" w:rsidP="00444BD7">
            <w:pPr>
              <w:spacing w:before="100" w:beforeAutospacing="1" w:after="100" w:afterAutospacing="1"/>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X</w:t>
            </w:r>
          </w:p>
        </w:tc>
      </w:tr>
      <w:tr w:rsidR="001D5554" w:rsidRPr="009F3ADA" w14:paraId="2B21EC3A" w14:textId="77777777" w:rsidTr="001E5BEB">
        <w:trPr>
          <w:trHeight w:val="118"/>
        </w:trPr>
        <w:tc>
          <w:tcPr>
            <w:tcW w:w="0" w:type="auto"/>
            <w:hideMark/>
          </w:tcPr>
          <w:p w14:paraId="3F491A6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0080</w:t>
            </w:r>
          </w:p>
        </w:tc>
        <w:tc>
          <w:tcPr>
            <w:tcW w:w="0" w:type="auto"/>
            <w:hideMark/>
          </w:tcPr>
          <w:p w14:paraId="7287F1D5"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Marjă inițială nesegregată</w:t>
            </w:r>
          </w:p>
        </w:tc>
        <w:tc>
          <w:tcPr>
            <w:tcW w:w="0" w:type="auto"/>
            <w:hideMark/>
          </w:tcPr>
          <w:p w14:paraId="64556C97" w14:textId="4BEBBA88"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3C33D292" w14:textId="2D5FDE2E"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2DF1B916" w14:textId="77777777" w:rsidTr="001E5BEB">
        <w:trPr>
          <w:trHeight w:val="118"/>
        </w:trPr>
        <w:tc>
          <w:tcPr>
            <w:tcW w:w="0" w:type="auto"/>
            <w:hideMark/>
          </w:tcPr>
          <w:p w14:paraId="4F7047F5"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0090</w:t>
            </w:r>
          </w:p>
        </w:tc>
        <w:tc>
          <w:tcPr>
            <w:tcW w:w="0" w:type="auto"/>
            <w:hideMark/>
          </w:tcPr>
          <w:p w14:paraId="21856882"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xml:space="preserve">Contribuții </w:t>
            </w:r>
            <w:proofErr w:type="spellStart"/>
            <w:r w:rsidRPr="009F3ADA">
              <w:rPr>
                <w:rFonts w:ascii="Times New Roman" w:eastAsia="Times New Roman" w:hAnsi="Times New Roman" w:cs="Times New Roman"/>
                <w:b/>
                <w:bCs/>
                <w:sz w:val="24"/>
                <w:szCs w:val="24"/>
                <w:lang w:eastAsia="ro-MD"/>
              </w:rPr>
              <w:t>prefinanțate</w:t>
            </w:r>
            <w:proofErr w:type="spellEnd"/>
            <w:r w:rsidRPr="009F3ADA">
              <w:rPr>
                <w:rFonts w:ascii="Times New Roman" w:eastAsia="Times New Roman" w:hAnsi="Times New Roman" w:cs="Times New Roman"/>
                <w:b/>
                <w:bCs/>
                <w:sz w:val="24"/>
                <w:szCs w:val="24"/>
                <w:lang w:eastAsia="ro-MD"/>
              </w:rPr>
              <w:t xml:space="preserve"> la fondul de garantare</w:t>
            </w:r>
          </w:p>
        </w:tc>
        <w:tc>
          <w:tcPr>
            <w:tcW w:w="0" w:type="auto"/>
            <w:hideMark/>
          </w:tcPr>
          <w:p w14:paraId="1607094A" w14:textId="51DB5E55"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26FC08FE" w14:textId="67BEB1A0"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33D37B1A" w14:textId="77777777" w:rsidTr="001E5BEB">
        <w:trPr>
          <w:trHeight w:val="118"/>
        </w:trPr>
        <w:tc>
          <w:tcPr>
            <w:tcW w:w="0" w:type="auto"/>
            <w:hideMark/>
          </w:tcPr>
          <w:p w14:paraId="2D565F6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0100</w:t>
            </w:r>
          </w:p>
        </w:tc>
        <w:tc>
          <w:tcPr>
            <w:tcW w:w="0" w:type="auto"/>
            <w:hideMark/>
          </w:tcPr>
          <w:p w14:paraId="6596C72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Contribuții nefinanțate la fondul de garantare</w:t>
            </w:r>
          </w:p>
        </w:tc>
        <w:tc>
          <w:tcPr>
            <w:tcW w:w="0" w:type="auto"/>
            <w:hideMark/>
          </w:tcPr>
          <w:p w14:paraId="64635A71" w14:textId="19B143A9"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52918621" w14:textId="407D5986"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167DDFAF" w14:textId="77777777" w:rsidTr="001E5BEB">
        <w:trPr>
          <w:trHeight w:val="118"/>
        </w:trPr>
        <w:tc>
          <w:tcPr>
            <w:tcW w:w="0" w:type="auto"/>
            <w:hideMark/>
          </w:tcPr>
          <w:p w14:paraId="5326697D"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0110</w:t>
            </w:r>
          </w:p>
        </w:tc>
        <w:tc>
          <w:tcPr>
            <w:tcW w:w="0" w:type="auto"/>
            <w:hideMark/>
          </w:tcPr>
          <w:p w14:paraId="03A9C079"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Expuneri față de CPC necalificate (total)</w:t>
            </w:r>
          </w:p>
        </w:tc>
        <w:tc>
          <w:tcPr>
            <w:tcW w:w="0" w:type="auto"/>
            <w:hideMark/>
          </w:tcPr>
          <w:p w14:paraId="22499031" w14:textId="23E04D30" w:rsidR="001102FE" w:rsidRPr="009F3ADA" w:rsidRDefault="00444BD7" w:rsidP="00444BD7">
            <w:pPr>
              <w:spacing w:before="100" w:beforeAutospacing="1" w:after="100" w:afterAutospacing="1"/>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X</w:t>
            </w:r>
          </w:p>
        </w:tc>
        <w:tc>
          <w:tcPr>
            <w:tcW w:w="0" w:type="auto"/>
            <w:hideMark/>
          </w:tcPr>
          <w:p w14:paraId="7B2D5E0C" w14:textId="6EFDE64D"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3A7B130C" w14:textId="77777777" w:rsidTr="001E5BEB">
        <w:trPr>
          <w:trHeight w:val="462"/>
        </w:trPr>
        <w:tc>
          <w:tcPr>
            <w:tcW w:w="0" w:type="auto"/>
            <w:hideMark/>
          </w:tcPr>
          <w:p w14:paraId="75FAF0A5"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0120</w:t>
            </w:r>
          </w:p>
        </w:tc>
        <w:tc>
          <w:tcPr>
            <w:tcW w:w="0" w:type="auto"/>
            <w:hideMark/>
          </w:tcPr>
          <w:p w14:paraId="36EEF35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Expuneri pentru tranzacții la CPC necalificate (cu excepția marjei inițiale și a contribuțiilor la fondul de garantare); din care:</w:t>
            </w:r>
          </w:p>
        </w:tc>
        <w:tc>
          <w:tcPr>
            <w:tcW w:w="0" w:type="auto"/>
            <w:hideMark/>
          </w:tcPr>
          <w:p w14:paraId="07FAEF5C" w14:textId="1D791D33"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40BD5538" w14:textId="4A61DF81"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3C7A00C0" w14:textId="77777777" w:rsidTr="001E5BEB">
        <w:trPr>
          <w:trHeight w:val="118"/>
        </w:trPr>
        <w:tc>
          <w:tcPr>
            <w:tcW w:w="0" w:type="auto"/>
            <w:hideMark/>
          </w:tcPr>
          <w:p w14:paraId="1E9674B3"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0130</w:t>
            </w:r>
          </w:p>
        </w:tc>
        <w:tc>
          <w:tcPr>
            <w:tcW w:w="0" w:type="auto"/>
            <w:hideMark/>
          </w:tcPr>
          <w:p w14:paraId="0D07B97E"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xml:space="preserve">(i)  instrumente financiare derivate </w:t>
            </w:r>
            <w:proofErr w:type="spellStart"/>
            <w:r w:rsidRPr="009F3ADA">
              <w:rPr>
                <w:rFonts w:ascii="Times New Roman" w:eastAsia="Times New Roman" w:hAnsi="Times New Roman" w:cs="Times New Roman"/>
                <w:b/>
                <w:bCs/>
                <w:sz w:val="24"/>
                <w:szCs w:val="24"/>
                <w:lang w:eastAsia="ro-MD"/>
              </w:rPr>
              <w:t>extrabursiere</w:t>
            </w:r>
            <w:proofErr w:type="spellEnd"/>
          </w:p>
        </w:tc>
        <w:tc>
          <w:tcPr>
            <w:tcW w:w="0" w:type="auto"/>
            <w:hideMark/>
          </w:tcPr>
          <w:p w14:paraId="7C63CEAB" w14:textId="27C837A0"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1BFC634B" w14:textId="470AADD8"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4E8CA206" w14:textId="77777777" w:rsidTr="001E5BEB">
        <w:trPr>
          <w:trHeight w:val="118"/>
        </w:trPr>
        <w:tc>
          <w:tcPr>
            <w:tcW w:w="0" w:type="auto"/>
            <w:hideMark/>
          </w:tcPr>
          <w:p w14:paraId="2F7B8AA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0140</w:t>
            </w:r>
          </w:p>
        </w:tc>
        <w:tc>
          <w:tcPr>
            <w:tcW w:w="0" w:type="auto"/>
            <w:hideMark/>
          </w:tcPr>
          <w:p w14:paraId="3184399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(ii)  instrumente financiare derivate tranzacționate la bursă</w:t>
            </w:r>
          </w:p>
        </w:tc>
        <w:tc>
          <w:tcPr>
            <w:tcW w:w="0" w:type="auto"/>
            <w:hideMark/>
          </w:tcPr>
          <w:p w14:paraId="38A2EDF0" w14:textId="7FBC2490"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5D8EE8FA" w14:textId="6FD39422"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5B6E10C4" w14:textId="77777777" w:rsidTr="001E5BEB">
        <w:trPr>
          <w:trHeight w:val="118"/>
        </w:trPr>
        <w:tc>
          <w:tcPr>
            <w:tcW w:w="0" w:type="auto"/>
            <w:hideMark/>
          </w:tcPr>
          <w:p w14:paraId="0430ACE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0150</w:t>
            </w:r>
          </w:p>
        </w:tc>
        <w:tc>
          <w:tcPr>
            <w:tcW w:w="0" w:type="auto"/>
            <w:hideMark/>
          </w:tcPr>
          <w:p w14:paraId="5A65E2E6"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(iii)  SFT</w:t>
            </w:r>
          </w:p>
        </w:tc>
        <w:tc>
          <w:tcPr>
            <w:tcW w:w="0" w:type="auto"/>
            <w:hideMark/>
          </w:tcPr>
          <w:p w14:paraId="11BE6840" w14:textId="22E6C4E1"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50B218CB" w14:textId="0A1BAE34"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20A0C8EC" w14:textId="77777777" w:rsidTr="001E5BEB">
        <w:trPr>
          <w:trHeight w:val="118"/>
        </w:trPr>
        <w:tc>
          <w:tcPr>
            <w:tcW w:w="0" w:type="auto"/>
            <w:hideMark/>
          </w:tcPr>
          <w:p w14:paraId="2886140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lastRenderedPageBreak/>
              <w:t>0160</w:t>
            </w:r>
          </w:p>
        </w:tc>
        <w:tc>
          <w:tcPr>
            <w:tcW w:w="0" w:type="auto"/>
            <w:hideMark/>
          </w:tcPr>
          <w:p w14:paraId="3ABC49A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(iv)  seturi de compensare în cazul cărora s-a aprobat compensarea între produse diferite</w:t>
            </w:r>
          </w:p>
        </w:tc>
        <w:tc>
          <w:tcPr>
            <w:tcW w:w="0" w:type="auto"/>
            <w:hideMark/>
          </w:tcPr>
          <w:p w14:paraId="64629370" w14:textId="62F6B8C9"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34BF0E9F" w14:textId="2E1BE431"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r>
      <w:tr w:rsidR="001D5554" w:rsidRPr="009F3ADA" w14:paraId="42DEB115" w14:textId="77777777" w:rsidTr="001E5BEB">
        <w:trPr>
          <w:trHeight w:val="462"/>
        </w:trPr>
        <w:tc>
          <w:tcPr>
            <w:tcW w:w="0" w:type="auto"/>
            <w:hideMark/>
          </w:tcPr>
          <w:p w14:paraId="5348D36F"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0170</w:t>
            </w:r>
          </w:p>
        </w:tc>
        <w:tc>
          <w:tcPr>
            <w:tcW w:w="0" w:type="auto"/>
            <w:hideMark/>
          </w:tcPr>
          <w:p w14:paraId="2BE43107"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Marjă inițială segregată</w:t>
            </w:r>
          </w:p>
        </w:tc>
        <w:tc>
          <w:tcPr>
            <w:tcW w:w="0" w:type="auto"/>
            <w:hideMark/>
          </w:tcPr>
          <w:p w14:paraId="6C399C01" w14:textId="7F0DF839" w:rsidR="001102FE" w:rsidRPr="009F3ADA" w:rsidRDefault="001102FE" w:rsidP="00444BD7">
            <w:pPr>
              <w:spacing w:before="100" w:beforeAutospacing="1" w:after="100" w:afterAutospacing="1"/>
              <w:jc w:val="center"/>
              <w:rPr>
                <w:rFonts w:ascii="Times New Roman" w:eastAsia="Times New Roman" w:hAnsi="Times New Roman" w:cs="Times New Roman"/>
                <w:sz w:val="24"/>
                <w:szCs w:val="24"/>
                <w:lang w:eastAsia="ro-MD"/>
              </w:rPr>
            </w:pPr>
          </w:p>
        </w:tc>
        <w:tc>
          <w:tcPr>
            <w:tcW w:w="0" w:type="auto"/>
            <w:hideMark/>
          </w:tcPr>
          <w:p w14:paraId="7922B09F" w14:textId="55F8AD66" w:rsidR="001102FE" w:rsidRPr="009F3ADA" w:rsidRDefault="00444BD7" w:rsidP="00444BD7">
            <w:pPr>
              <w:spacing w:before="100" w:beforeAutospacing="1" w:after="100" w:afterAutospacing="1"/>
              <w:jc w:val="center"/>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X</w:t>
            </w:r>
          </w:p>
        </w:tc>
      </w:tr>
      <w:tr w:rsidR="001D5554" w:rsidRPr="009F3ADA" w14:paraId="64E6938C" w14:textId="77777777" w:rsidTr="001E5BEB">
        <w:trPr>
          <w:trHeight w:val="462"/>
        </w:trPr>
        <w:tc>
          <w:tcPr>
            <w:tcW w:w="0" w:type="auto"/>
            <w:hideMark/>
          </w:tcPr>
          <w:p w14:paraId="743C4D11"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0180</w:t>
            </w:r>
          </w:p>
        </w:tc>
        <w:tc>
          <w:tcPr>
            <w:tcW w:w="0" w:type="auto"/>
            <w:hideMark/>
          </w:tcPr>
          <w:p w14:paraId="4865683B"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Marjă inițială nesegregată</w:t>
            </w:r>
          </w:p>
        </w:tc>
        <w:tc>
          <w:tcPr>
            <w:tcW w:w="0" w:type="auto"/>
            <w:hideMark/>
          </w:tcPr>
          <w:p w14:paraId="755C7E5D"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7868BB4E"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r>
      <w:tr w:rsidR="001D5554" w:rsidRPr="009F3ADA" w14:paraId="4116D9E2" w14:textId="77777777" w:rsidTr="001E5BEB">
        <w:trPr>
          <w:trHeight w:val="912"/>
        </w:trPr>
        <w:tc>
          <w:tcPr>
            <w:tcW w:w="0" w:type="auto"/>
            <w:hideMark/>
          </w:tcPr>
          <w:p w14:paraId="7CB75791"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0190</w:t>
            </w:r>
          </w:p>
        </w:tc>
        <w:tc>
          <w:tcPr>
            <w:tcW w:w="0" w:type="auto"/>
            <w:hideMark/>
          </w:tcPr>
          <w:p w14:paraId="20A76398"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 xml:space="preserve">Contribuții </w:t>
            </w:r>
            <w:proofErr w:type="spellStart"/>
            <w:r w:rsidRPr="009F3ADA">
              <w:rPr>
                <w:rFonts w:ascii="Times New Roman" w:eastAsia="Times New Roman" w:hAnsi="Times New Roman" w:cs="Times New Roman"/>
                <w:b/>
                <w:bCs/>
                <w:sz w:val="24"/>
                <w:szCs w:val="24"/>
                <w:lang w:eastAsia="ro-MD"/>
              </w:rPr>
              <w:t>prefinanțate</w:t>
            </w:r>
            <w:proofErr w:type="spellEnd"/>
            <w:r w:rsidRPr="009F3ADA">
              <w:rPr>
                <w:rFonts w:ascii="Times New Roman" w:eastAsia="Times New Roman" w:hAnsi="Times New Roman" w:cs="Times New Roman"/>
                <w:b/>
                <w:bCs/>
                <w:sz w:val="24"/>
                <w:szCs w:val="24"/>
                <w:lang w:eastAsia="ro-MD"/>
              </w:rPr>
              <w:t xml:space="preserve"> la fondul de garantare</w:t>
            </w:r>
          </w:p>
        </w:tc>
        <w:tc>
          <w:tcPr>
            <w:tcW w:w="0" w:type="auto"/>
            <w:hideMark/>
          </w:tcPr>
          <w:p w14:paraId="50A472E5"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4FD88944"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r>
      <w:tr w:rsidR="001D5554" w:rsidRPr="009F3ADA" w14:paraId="427E3DC7" w14:textId="77777777" w:rsidTr="001E5BEB">
        <w:trPr>
          <w:trHeight w:val="925"/>
        </w:trPr>
        <w:tc>
          <w:tcPr>
            <w:tcW w:w="0" w:type="auto"/>
            <w:hideMark/>
          </w:tcPr>
          <w:p w14:paraId="24B18753"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0200</w:t>
            </w:r>
          </w:p>
        </w:tc>
        <w:tc>
          <w:tcPr>
            <w:tcW w:w="0" w:type="auto"/>
            <w:hideMark/>
          </w:tcPr>
          <w:p w14:paraId="49A134EC" w14:textId="77777777" w:rsidR="001102FE" w:rsidRPr="009F3ADA" w:rsidRDefault="001102FE" w:rsidP="001102FE">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Contribuții nefinanțate la fondul de garantare</w:t>
            </w:r>
          </w:p>
        </w:tc>
        <w:tc>
          <w:tcPr>
            <w:tcW w:w="0" w:type="auto"/>
            <w:hideMark/>
          </w:tcPr>
          <w:p w14:paraId="48781D4C"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c>
          <w:tcPr>
            <w:tcW w:w="0" w:type="auto"/>
            <w:hideMark/>
          </w:tcPr>
          <w:p w14:paraId="4308C51A" w14:textId="77777777" w:rsidR="001102FE" w:rsidRPr="009F3ADA" w:rsidRDefault="001102FE" w:rsidP="001102FE">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w:t>
            </w:r>
          </w:p>
        </w:tc>
      </w:tr>
    </w:tbl>
    <w:p w14:paraId="0014D224" w14:textId="77777777" w:rsidR="001102FE" w:rsidRPr="009F3ADA" w:rsidRDefault="001102FE"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7B4A453" w14:textId="77777777" w:rsidR="001D5554" w:rsidRPr="009F3ADA" w:rsidRDefault="001D5554" w:rsidP="001D5554">
      <w:pPr>
        <w:spacing w:before="100" w:beforeAutospacing="1" w:after="100" w:afterAutospacing="1" w:line="240" w:lineRule="auto"/>
        <w:rPr>
          <w:rFonts w:ascii="Times New Roman" w:eastAsia="Times New Roman" w:hAnsi="Times New Roman" w:cs="Times New Roman"/>
          <w:color w:val="000000"/>
          <w:sz w:val="27"/>
          <w:szCs w:val="27"/>
          <w:lang w:eastAsia="ro-MD"/>
        </w:rPr>
        <w:sectPr w:rsidR="001D5554" w:rsidRPr="009F3ADA" w:rsidSect="001D5554">
          <w:pgSz w:w="16838" w:h="11906" w:orient="landscape" w:code="9"/>
          <w:pgMar w:top="1701" w:right="1134" w:bottom="851" w:left="1134" w:header="709" w:footer="709" w:gutter="0"/>
          <w:cols w:space="708"/>
          <w:docGrid w:linePitch="360"/>
        </w:sectPr>
      </w:pPr>
    </w:p>
    <w:p w14:paraId="39CE5032" w14:textId="582C527A" w:rsidR="001102FE" w:rsidRPr="009F3ADA" w:rsidRDefault="001D5554" w:rsidP="001D5554">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lastRenderedPageBreak/>
        <w:t>Modul de completare a raportului</w:t>
      </w:r>
    </w:p>
    <w:p w14:paraId="13054379" w14:textId="2B3CBBC9" w:rsidR="001D5554" w:rsidRPr="009F3ADA" w:rsidRDefault="001D5554" w:rsidP="001D5554">
      <w:pPr>
        <w:spacing w:before="100" w:beforeAutospacing="1" w:after="100" w:afterAutospacing="1" w:line="240" w:lineRule="auto"/>
        <w:rPr>
          <w:rFonts w:ascii="Times New Roman" w:eastAsia="Times New Roman" w:hAnsi="Times New Roman" w:cs="Times New Roman"/>
          <w:b/>
          <w:bCs/>
          <w:color w:val="000000"/>
          <w:sz w:val="24"/>
          <w:szCs w:val="24"/>
          <w:lang w:eastAsia="ro-MD"/>
        </w:rPr>
      </w:pPr>
      <w:r w:rsidRPr="009F3ADA">
        <w:rPr>
          <w:rFonts w:ascii="Times New Roman" w:eastAsia="Times New Roman" w:hAnsi="Times New Roman" w:cs="Times New Roman"/>
          <w:b/>
          <w:bCs/>
          <w:color w:val="000000"/>
          <w:sz w:val="24"/>
          <w:szCs w:val="24"/>
          <w:lang w:eastAsia="ro-MD"/>
        </w:rPr>
        <w:t xml:space="preserve">C 34.10 – </w:t>
      </w:r>
      <w:r w:rsidR="00873AD5" w:rsidRPr="009F3ADA">
        <w:rPr>
          <w:rFonts w:ascii="Times New Roman" w:eastAsia="Times New Roman" w:hAnsi="Times New Roman" w:cs="Times New Roman"/>
          <w:b/>
          <w:bCs/>
          <w:color w:val="000000"/>
          <w:sz w:val="24"/>
          <w:szCs w:val="24"/>
          <w:lang w:eastAsia="ro-MD"/>
        </w:rPr>
        <w:t>RISCUL DE CREDIT AL CONTRAPĂRȚII: EXPUNERI FAȚĂ DE CPC-URI (CCR 10)</w:t>
      </w:r>
    </w:p>
    <w:p w14:paraId="7BCE5F83" w14:textId="1C5F70D6" w:rsidR="001D5554" w:rsidRPr="009F3ADA" w:rsidRDefault="001D5554" w:rsidP="001D5554">
      <w:pPr>
        <w:spacing w:before="100" w:beforeAutospacing="1" w:after="100" w:afterAutospacing="1" w:line="240" w:lineRule="auto"/>
        <w:rPr>
          <w:rFonts w:ascii="Times New Roman" w:eastAsia="Times New Roman" w:hAnsi="Times New Roman" w:cs="Times New Roman"/>
          <w:color w:val="000000"/>
          <w:sz w:val="24"/>
          <w:szCs w:val="24"/>
          <w:lang w:eastAsia="ro-MD"/>
        </w:rPr>
      </w:pPr>
      <w:r w:rsidRPr="009F3ADA">
        <w:rPr>
          <w:rFonts w:ascii="Times New Roman" w:eastAsia="Times New Roman" w:hAnsi="Times New Roman" w:cs="Times New Roman"/>
          <w:color w:val="000000"/>
          <w:sz w:val="24"/>
          <w:szCs w:val="24"/>
          <w:lang w:eastAsia="ro-MD"/>
        </w:rPr>
        <w:t>Instrucțiuni privind anumite poziții</w:t>
      </w:r>
    </w:p>
    <w:tbl>
      <w:tblPr>
        <w:tblStyle w:val="TableGrid"/>
        <w:tblW w:w="9590" w:type="dxa"/>
        <w:tblLook w:val="04A0" w:firstRow="1" w:lastRow="0" w:firstColumn="1" w:lastColumn="0" w:noHBand="0" w:noVBand="1"/>
      </w:tblPr>
      <w:tblGrid>
        <w:gridCol w:w="696"/>
        <w:gridCol w:w="8894"/>
      </w:tblGrid>
      <w:tr w:rsidR="001D5554" w:rsidRPr="009F3ADA" w14:paraId="275A466A" w14:textId="77777777" w:rsidTr="001E5BEB">
        <w:trPr>
          <w:trHeight w:val="286"/>
        </w:trPr>
        <w:tc>
          <w:tcPr>
            <w:tcW w:w="0" w:type="auto"/>
            <w:gridSpan w:val="2"/>
            <w:hideMark/>
          </w:tcPr>
          <w:p w14:paraId="69CE387F" w14:textId="77777777" w:rsidR="001D5554" w:rsidRPr="009F3ADA" w:rsidRDefault="001D5554" w:rsidP="001D5554">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Coloane</w:t>
            </w:r>
          </w:p>
        </w:tc>
      </w:tr>
      <w:tr w:rsidR="001D5554" w:rsidRPr="009F3ADA" w14:paraId="55A13F14" w14:textId="77777777" w:rsidTr="001E5BEB">
        <w:trPr>
          <w:trHeight w:val="3243"/>
        </w:trPr>
        <w:tc>
          <w:tcPr>
            <w:tcW w:w="0" w:type="auto"/>
            <w:hideMark/>
          </w:tcPr>
          <w:p w14:paraId="4D4C2806"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w:t>
            </w:r>
          </w:p>
        </w:tc>
        <w:tc>
          <w:tcPr>
            <w:tcW w:w="0" w:type="auto"/>
            <w:hideMark/>
          </w:tcPr>
          <w:p w14:paraId="7DA84E02"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VALOAREA EXPUNERII</w:t>
            </w:r>
          </w:p>
          <w:p w14:paraId="09E105DA" w14:textId="6D8A17E2" w:rsidR="005C0055"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pentru tranzacțiile care intră în domeniul de aplicare </w:t>
            </w:r>
            <w:r w:rsidR="005C0055" w:rsidRPr="009F3ADA">
              <w:rPr>
                <w:rFonts w:ascii="Times New Roman" w:eastAsia="Times New Roman" w:hAnsi="Times New Roman" w:cs="Times New Roman"/>
                <w:sz w:val="24"/>
                <w:szCs w:val="24"/>
                <w:lang w:eastAsia="ro-MD"/>
              </w:rPr>
              <w:t>conform capitolului VIII „</w:t>
            </w:r>
            <w:proofErr w:type="spellStart"/>
            <w:r w:rsidR="005C0055" w:rsidRPr="009F3ADA">
              <w:rPr>
                <w:rFonts w:ascii="Times New Roman" w:eastAsia="Times New Roman" w:hAnsi="Times New Roman" w:cs="Times New Roman"/>
                <w:sz w:val="24"/>
                <w:szCs w:val="24"/>
                <w:lang w:eastAsia="ro-MD"/>
              </w:rPr>
              <w:t>Cerinţele</w:t>
            </w:r>
            <w:proofErr w:type="spellEnd"/>
            <w:r w:rsidR="005C0055" w:rsidRPr="009F3ADA">
              <w:rPr>
                <w:rFonts w:ascii="Times New Roman" w:eastAsia="Times New Roman" w:hAnsi="Times New Roman" w:cs="Times New Roman"/>
                <w:sz w:val="24"/>
                <w:szCs w:val="24"/>
                <w:lang w:eastAsia="ro-MD"/>
              </w:rPr>
              <w:t xml:space="preserve"> de fonduri proprii pentru expunerile față de o </w:t>
            </w:r>
            <w:proofErr w:type="spellStart"/>
            <w:r w:rsidR="005C0055" w:rsidRPr="009F3ADA">
              <w:rPr>
                <w:rFonts w:ascii="Times New Roman" w:eastAsia="Times New Roman" w:hAnsi="Times New Roman" w:cs="Times New Roman"/>
                <w:sz w:val="24"/>
                <w:szCs w:val="24"/>
                <w:lang w:eastAsia="ro-MD"/>
              </w:rPr>
              <w:t>contaparte</w:t>
            </w:r>
            <w:proofErr w:type="spellEnd"/>
            <w:r w:rsidR="005C0055" w:rsidRPr="009F3ADA">
              <w:rPr>
                <w:rFonts w:ascii="Times New Roman" w:eastAsia="Times New Roman" w:hAnsi="Times New Roman" w:cs="Times New Roman"/>
                <w:sz w:val="24"/>
                <w:szCs w:val="24"/>
                <w:lang w:eastAsia="ro-MD"/>
              </w:rPr>
              <w:t xml:space="preserve"> centrală” din Regulamentul </w:t>
            </w:r>
            <w:r w:rsidR="00ED3A84" w:rsidRPr="009F3ADA">
              <w:rPr>
                <w:rFonts w:ascii="Times New Roman" w:eastAsia="Times New Roman" w:hAnsi="Times New Roman" w:cs="Times New Roman"/>
                <w:sz w:val="24"/>
                <w:szCs w:val="24"/>
                <w:lang w:eastAsia="ro-MD"/>
              </w:rPr>
              <w:t xml:space="preserve">nr.220/2025 </w:t>
            </w:r>
            <w:r w:rsidR="005C0055" w:rsidRPr="009F3ADA">
              <w:rPr>
                <w:rFonts w:ascii="Times New Roman" w:eastAsia="Times New Roman" w:hAnsi="Times New Roman" w:cs="Times New Roman"/>
                <w:sz w:val="24"/>
                <w:szCs w:val="24"/>
                <w:lang w:eastAsia="ro-MD"/>
              </w:rPr>
              <w:t xml:space="preserve">cu privire la tratamentul riscului de credit al </w:t>
            </w:r>
            <w:proofErr w:type="spellStart"/>
            <w:r w:rsidR="005C0055" w:rsidRPr="009F3ADA">
              <w:rPr>
                <w:rFonts w:ascii="Times New Roman" w:eastAsia="Times New Roman" w:hAnsi="Times New Roman" w:cs="Times New Roman"/>
                <w:sz w:val="24"/>
                <w:szCs w:val="24"/>
                <w:lang w:eastAsia="ro-MD"/>
              </w:rPr>
              <w:t>contrapărţii</w:t>
            </w:r>
            <w:proofErr w:type="spellEnd"/>
            <w:r w:rsidR="005C0055"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 xml:space="preserve">, calculată în conformitate cu metodele relevante prevăzute în </w:t>
            </w:r>
            <w:r w:rsidR="005C0055" w:rsidRPr="009F3ADA">
              <w:rPr>
                <w:rFonts w:ascii="Times New Roman" w:eastAsia="Times New Roman" w:hAnsi="Times New Roman" w:cs="Times New Roman"/>
                <w:sz w:val="24"/>
                <w:szCs w:val="24"/>
                <w:lang w:eastAsia="ro-MD"/>
              </w:rPr>
              <w:t>capitolul VIII „</w:t>
            </w:r>
            <w:proofErr w:type="spellStart"/>
            <w:r w:rsidR="005C0055" w:rsidRPr="009F3ADA">
              <w:rPr>
                <w:rFonts w:ascii="Times New Roman" w:eastAsia="Times New Roman" w:hAnsi="Times New Roman" w:cs="Times New Roman"/>
                <w:sz w:val="24"/>
                <w:szCs w:val="24"/>
                <w:lang w:eastAsia="ro-MD"/>
              </w:rPr>
              <w:t>Cerinţele</w:t>
            </w:r>
            <w:proofErr w:type="spellEnd"/>
            <w:r w:rsidR="005C0055" w:rsidRPr="009F3ADA">
              <w:rPr>
                <w:rFonts w:ascii="Times New Roman" w:eastAsia="Times New Roman" w:hAnsi="Times New Roman" w:cs="Times New Roman"/>
                <w:sz w:val="24"/>
                <w:szCs w:val="24"/>
                <w:lang w:eastAsia="ro-MD"/>
              </w:rPr>
              <w:t xml:space="preserve"> de fonduri proprii pentru expunerile față de o </w:t>
            </w:r>
            <w:proofErr w:type="spellStart"/>
            <w:r w:rsidR="005C0055" w:rsidRPr="009F3ADA">
              <w:rPr>
                <w:rFonts w:ascii="Times New Roman" w:eastAsia="Times New Roman" w:hAnsi="Times New Roman" w:cs="Times New Roman"/>
                <w:sz w:val="24"/>
                <w:szCs w:val="24"/>
                <w:lang w:eastAsia="ro-MD"/>
              </w:rPr>
              <w:t>contaparte</w:t>
            </w:r>
            <w:proofErr w:type="spellEnd"/>
            <w:r w:rsidR="005C0055" w:rsidRPr="009F3ADA">
              <w:rPr>
                <w:rFonts w:ascii="Times New Roman" w:eastAsia="Times New Roman" w:hAnsi="Times New Roman" w:cs="Times New Roman"/>
                <w:sz w:val="24"/>
                <w:szCs w:val="24"/>
                <w:lang w:eastAsia="ro-MD"/>
              </w:rPr>
              <w:t xml:space="preserve"> centrală” din Regulamentul </w:t>
            </w:r>
            <w:r w:rsidR="00ED3A84" w:rsidRPr="009F3ADA">
              <w:rPr>
                <w:rFonts w:ascii="Times New Roman" w:eastAsia="Times New Roman" w:hAnsi="Times New Roman" w:cs="Times New Roman"/>
                <w:sz w:val="24"/>
                <w:szCs w:val="24"/>
                <w:lang w:eastAsia="ro-MD"/>
              </w:rPr>
              <w:t xml:space="preserve">nr.220/2025 </w:t>
            </w:r>
            <w:r w:rsidR="005C0055" w:rsidRPr="009F3ADA">
              <w:rPr>
                <w:rFonts w:ascii="Times New Roman" w:eastAsia="Times New Roman" w:hAnsi="Times New Roman" w:cs="Times New Roman"/>
                <w:sz w:val="24"/>
                <w:szCs w:val="24"/>
                <w:lang w:eastAsia="ro-MD"/>
              </w:rPr>
              <w:t xml:space="preserve">cu privire la tratamentul riscului de credit al </w:t>
            </w:r>
            <w:proofErr w:type="spellStart"/>
            <w:r w:rsidR="005C0055" w:rsidRPr="009F3ADA">
              <w:rPr>
                <w:rFonts w:ascii="Times New Roman" w:eastAsia="Times New Roman" w:hAnsi="Times New Roman" w:cs="Times New Roman"/>
                <w:sz w:val="24"/>
                <w:szCs w:val="24"/>
                <w:lang w:eastAsia="ro-MD"/>
              </w:rPr>
              <w:t>contrapărţii</w:t>
            </w:r>
            <w:proofErr w:type="spellEnd"/>
            <w:r w:rsidR="005C0055" w:rsidRPr="009F3ADA">
              <w:rPr>
                <w:rFonts w:ascii="Times New Roman" w:eastAsia="Times New Roman" w:hAnsi="Times New Roman" w:cs="Times New Roman"/>
                <w:sz w:val="24"/>
                <w:szCs w:val="24"/>
                <w:lang w:eastAsia="ro-MD"/>
              </w:rPr>
              <w:t xml:space="preserve"> pentru bănci.</w:t>
            </w:r>
          </w:p>
          <w:p w14:paraId="27117F4B" w14:textId="318E16A2" w:rsidR="00321A0B" w:rsidRPr="009F3ADA" w:rsidRDefault="001D5554" w:rsidP="00321A0B">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Valoarea expunerii raportată trebuie să fie cuantumul relevant pentru calcularea cerințelor de fonduri proprii în conformitate cu </w:t>
            </w:r>
            <w:r w:rsidR="00B334A1" w:rsidRPr="009F3ADA">
              <w:rPr>
                <w:rFonts w:ascii="Times New Roman" w:eastAsia="Times New Roman" w:hAnsi="Times New Roman" w:cs="Times New Roman"/>
                <w:sz w:val="24"/>
                <w:szCs w:val="24"/>
                <w:lang w:eastAsia="ro-MD"/>
              </w:rPr>
              <w:t>capitolul VIII „</w:t>
            </w:r>
            <w:proofErr w:type="spellStart"/>
            <w:r w:rsidR="00B334A1" w:rsidRPr="009F3ADA">
              <w:rPr>
                <w:rFonts w:ascii="Times New Roman" w:eastAsia="Times New Roman" w:hAnsi="Times New Roman" w:cs="Times New Roman"/>
                <w:sz w:val="24"/>
                <w:szCs w:val="24"/>
                <w:lang w:eastAsia="ro-MD"/>
              </w:rPr>
              <w:t>Cerinţele</w:t>
            </w:r>
            <w:proofErr w:type="spellEnd"/>
            <w:r w:rsidR="00B334A1" w:rsidRPr="009F3ADA">
              <w:rPr>
                <w:rFonts w:ascii="Times New Roman" w:eastAsia="Times New Roman" w:hAnsi="Times New Roman" w:cs="Times New Roman"/>
                <w:sz w:val="24"/>
                <w:szCs w:val="24"/>
                <w:lang w:eastAsia="ro-MD"/>
              </w:rPr>
              <w:t xml:space="preserve"> de fonduri proprii pentru expunerile față de o </w:t>
            </w:r>
            <w:proofErr w:type="spellStart"/>
            <w:r w:rsidR="00B334A1" w:rsidRPr="009F3ADA">
              <w:rPr>
                <w:rFonts w:ascii="Times New Roman" w:eastAsia="Times New Roman" w:hAnsi="Times New Roman" w:cs="Times New Roman"/>
                <w:sz w:val="24"/>
                <w:szCs w:val="24"/>
                <w:lang w:eastAsia="ro-MD"/>
              </w:rPr>
              <w:t>contaparte</w:t>
            </w:r>
            <w:proofErr w:type="spellEnd"/>
            <w:r w:rsidR="00B334A1" w:rsidRPr="009F3ADA">
              <w:rPr>
                <w:rFonts w:ascii="Times New Roman" w:eastAsia="Times New Roman" w:hAnsi="Times New Roman" w:cs="Times New Roman"/>
                <w:sz w:val="24"/>
                <w:szCs w:val="24"/>
                <w:lang w:eastAsia="ro-MD"/>
              </w:rPr>
              <w:t xml:space="preserve"> centrală” din Regulamentul </w:t>
            </w:r>
            <w:r w:rsidR="00ED3A84" w:rsidRPr="009F3ADA">
              <w:rPr>
                <w:rFonts w:ascii="Times New Roman" w:eastAsia="Times New Roman" w:hAnsi="Times New Roman" w:cs="Times New Roman"/>
                <w:sz w:val="24"/>
                <w:szCs w:val="24"/>
                <w:lang w:eastAsia="ro-MD"/>
              </w:rPr>
              <w:t xml:space="preserve">nr.220/2025 </w:t>
            </w:r>
            <w:r w:rsidR="00B334A1" w:rsidRPr="009F3ADA">
              <w:rPr>
                <w:rFonts w:ascii="Times New Roman" w:eastAsia="Times New Roman" w:hAnsi="Times New Roman" w:cs="Times New Roman"/>
                <w:sz w:val="24"/>
                <w:szCs w:val="24"/>
                <w:lang w:eastAsia="ro-MD"/>
              </w:rPr>
              <w:t xml:space="preserve">cu privire la tratamentul riscului de credit al </w:t>
            </w:r>
            <w:proofErr w:type="spellStart"/>
            <w:r w:rsidR="00B334A1" w:rsidRPr="009F3ADA">
              <w:rPr>
                <w:rFonts w:ascii="Times New Roman" w:eastAsia="Times New Roman" w:hAnsi="Times New Roman" w:cs="Times New Roman"/>
                <w:sz w:val="24"/>
                <w:szCs w:val="24"/>
                <w:lang w:eastAsia="ro-MD"/>
              </w:rPr>
              <w:t>contrapărţii</w:t>
            </w:r>
            <w:proofErr w:type="spellEnd"/>
            <w:r w:rsidR="00B334A1" w:rsidRPr="009F3ADA">
              <w:rPr>
                <w:rFonts w:ascii="Times New Roman" w:eastAsia="Times New Roman" w:hAnsi="Times New Roman" w:cs="Times New Roman"/>
                <w:sz w:val="24"/>
                <w:szCs w:val="24"/>
                <w:lang w:eastAsia="ro-MD"/>
              </w:rPr>
              <w:t xml:space="preserve"> pentru bănci</w:t>
            </w:r>
            <w:r w:rsidR="00321A0B" w:rsidRPr="009F3ADA">
              <w:rPr>
                <w:rFonts w:ascii="Times New Roman" w:eastAsia="Times New Roman" w:hAnsi="Times New Roman" w:cs="Times New Roman"/>
                <w:sz w:val="24"/>
                <w:szCs w:val="24"/>
                <w:lang w:eastAsia="ro-MD"/>
              </w:rPr>
              <w:t>.</w:t>
            </w:r>
          </w:p>
          <w:p w14:paraId="62B85BA9" w14:textId="4E36B09A" w:rsidR="001D5554" w:rsidRPr="009F3ADA" w:rsidRDefault="001D5554" w:rsidP="00321A0B">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O expunere poate fi o expunere din tranzacții, astfel cum este definită la </w:t>
            </w:r>
            <w:r w:rsidR="0019241B" w:rsidRPr="009F3ADA">
              <w:rPr>
                <w:rFonts w:ascii="Times New Roman" w:eastAsia="Times New Roman" w:hAnsi="Times New Roman" w:cs="Times New Roman"/>
                <w:sz w:val="24"/>
                <w:szCs w:val="24"/>
                <w:lang w:eastAsia="ro-MD"/>
              </w:rPr>
              <w:t>punctul 3 din Regulamentul</w:t>
            </w:r>
            <w:r w:rsidR="00ED3A84" w:rsidRPr="009F3ADA">
              <w:rPr>
                <w:kern w:val="0"/>
                <w14:ligatures w14:val="none"/>
              </w:rPr>
              <w:t xml:space="preserve"> </w:t>
            </w:r>
            <w:r w:rsidR="00ED3A84" w:rsidRPr="009F3ADA">
              <w:rPr>
                <w:rFonts w:ascii="Times New Roman" w:eastAsia="Times New Roman" w:hAnsi="Times New Roman" w:cs="Times New Roman"/>
                <w:sz w:val="24"/>
                <w:szCs w:val="24"/>
                <w:lang w:eastAsia="ro-MD"/>
              </w:rPr>
              <w:t>nr.220/2025</w:t>
            </w:r>
            <w:r w:rsidR="0019241B" w:rsidRPr="009F3ADA">
              <w:rPr>
                <w:rFonts w:ascii="Times New Roman" w:eastAsia="Times New Roman" w:hAnsi="Times New Roman" w:cs="Times New Roman"/>
                <w:sz w:val="24"/>
                <w:szCs w:val="24"/>
                <w:lang w:eastAsia="ro-MD"/>
              </w:rPr>
              <w:t xml:space="preserve"> cu privire la tratamentul riscului de credit al </w:t>
            </w:r>
            <w:proofErr w:type="spellStart"/>
            <w:r w:rsidR="0019241B" w:rsidRPr="009F3ADA">
              <w:rPr>
                <w:rFonts w:ascii="Times New Roman" w:eastAsia="Times New Roman" w:hAnsi="Times New Roman" w:cs="Times New Roman"/>
                <w:sz w:val="24"/>
                <w:szCs w:val="24"/>
                <w:lang w:eastAsia="ro-MD"/>
              </w:rPr>
              <w:t>contrapărţii</w:t>
            </w:r>
            <w:proofErr w:type="spellEnd"/>
            <w:r w:rsidR="0019241B" w:rsidRPr="009F3ADA">
              <w:rPr>
                <w:rFonts w:ascii="Times New Roman" w:eastAsia="Times New Roman" w:hAnsi="Times New Roman" w:cs="Times New Roman"/>
                <w:sz w:val="24"/>
                <w:szCs w:val="24"/>
                <w:lang w:eastAsia="ro-MD"/>
              </w:rPr>
              <w:t xml:space="preserve"> pentru bănci</w:t>
            </w:r>
            <w:r w:rsidRPr="009F3ADA">
              <w:rPr>
                <w:rFonts w:ascii="Times New Roman" w:eastAsia="Times New Roman" w:hAnsi="Times New Roman" w:cs="Times New Roman"/>
                <w:sz w:val="24"/>
                <w:szCs w:val="24"/>
                <w:lang w:eastAsia="ro-MD"/>
              </w:rPr>
              <w:t>.</w:t>
            </w:r>
          </w:p>
        </w:tc>
      </w:tr>
      <w:tr w:rsidR="001D5554" w:rsidRPr="009F3ADA" w14:paraId="299297B5" w14:textId="77777777" w:rsidTr="001E5BEB">
        <w:trPr>
          <w:trHeight w:val="1462"/>
        </w:trPr>
        <w:tc>
          <w:tcPr>
            <w:tcW w:w="0" w:type="auto"/>
            <w:hideMark/>
          </w:tcPr>
          <w:p w14:paraId="25FDD68E"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0020</w:t>
            </w:r>
          </w:p>
        </w:tc>
        <w:tc>
          <w:tcPr>
            <w:tcW w:w="0" w:type="auto"/>
            <w:hideMark/>
          </w:tcPr>
          <w:p w14:paraId="161CDBD5"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CUANTUMURILE PONDERATE LA RISC ALE EXPUNERILOR</w:t>
            </w:r>
          </w:p>
          <w:p w14:paraId="6C2A307A" w14:textId="2321F22B"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Cuantumurile ponderate la risc ale expunerilor determinate în conformitate cu </w:t>
            </w:r>
            <w:r w:rsidR="0019241B" w:rsidRPr="009F3ADA">
              <w:rPr>
                <w:rFonts w:ascii="Times New Roman" w:eastAsia="Times New Roman" w:hAnsi="Times New Roman" w:cs="Times New Roman"/>
                <w:sz w:val="24"/>
                <w:szCs w:val="24"/>
                <w:lang w:eastAsia="ro-MD"/>
              </w:rPr>
              <w:t>capitolul VIII „</w:t>
            </w:r>
            <w:proofErr w:type="spellStart"/>
            <w:r w:rsidR="0019241B" w:rsidRPr="009F3ADA">
              <w:rPr>
                <w:rFonts w:ascii="Times New Roman" w:eastAsia="Times New Roman" w:hAnsi="Times New Roman" w:cs="Times New Roman"/>
                <w:sz w:val="24"/>
                <w:szCs w:val="24"/>
                <w:lang w:eastAsia="ro-MD"/>
              </w:rPr>
              <w:t>Cerinţele</w:t>
            </w:r>
            <w:proofErr w:type="spellEnd"/>
            <w:r w:rsidR="0019241B" w:rsidRPr="009F3ADA">
              <w:rPr>
                <w:rFonts w:ascii="Times New Roman" w:eastAsia="Times New Roman" w:hAnsi="Times New Roman" w:cs="Times New Roman"/>
                <w:sz w:val="24"/>
                <w:szCs w:val="24"/>
                <w:lang w:eastAsia="ro-MD"/>
              </w:rPr>
              <w:t xml:space="preserve"> de fonduri proprii pentru expunerile față de o </w:t>
            </w:r>
            <w:proofErr w:type="spellStart"/>
            <w:r w:rsidR="0019241B" w:rsidRPr="009F3ADA">
              <w:rPr>
                <w:rFonts w:ascii="Times New Roman" w:eastAsia="Times New Roman" w:hAnsi="Times New Roman" w:cs="Times New Roman"/>
                <w:sz w:val="24"/>
                <w:szCs w:val="24"/>
                <w:lang w:eastAsia="ro-MD"/>
              </w:rPr>
              <w:t>contaparte</w:t>
            </w:r>
            <w:proofErr w:type="spellEnd"/>
            <w:r w:rsidR="0019241B" w:rsidRPr="009F3ADA">
              <w:rPr>
                <w:rFonts w:ascii="Times New Roman" w:eastAsia="Times New Roman" w:hAnsi="Times New Roman" w:cs="Times New Roman"/>
                <w:sz w:val="24"/>
                <w:szCs w:val="24"/>
                <w:lang w:eastAsia="ro-MD"/>
              </w:rPr>
              <w:t xml:space="preserve"> centrală” din Regulamentul </w:t>
            </w:r>
            <w:r w:rsidR="00ED3A84" w:rsidRPr="009F3ADA">
              <w:rPr>
                <w:rFonts w:ascii="Times New Roman" w:eastAsia="Times New Roman" w:hAnsi="Times New Roman" w:cs="Times New Roman"/>
                <w:sz w:val="24"/>
                <w:szCs w:val="24"/>
                <w:lang w:eastAsia="ro-MD"/>
              </w:rPr>
              <w:t xml:space="preserve">nr.220/2025 </w:t>
            </w:r>
            <w:r w:rsidR="0019241B" w:rsidRPr="009F3ADA">
              <w:rPr>
                <w:rFonts w:ascii="Times New Roman" w:eastAsia="Times New Roman" w:hAnsi="Times New Roman" w:cs="Times New Roman"/>
                <w:sz w:val="24"/>
                <w:szCs w:val="24"/>
                <w:lang w:eastAsia="ro-MD"/>
              </w:rPr>
              <w:t xml:space="preserve">cu privire la tratamentul riscului de credit al </w:t>
            </w:r>
            <w:proofErr w:type="spellStart"/>
            <w:r w:rsidR="0019241B" w:rsidRPr="009F3ADA">
              <w:rPr>
                <w:rFonts w:ascii="Times New Roman" w:eastAsia="Times New Roman" w:hAnsi="Times New Roman" w:cs="Times New Roman"/>
                <w:sz w:val="24"/>
                <w:szCs w:val="24"/>
                <w:lang w:eastAsia="ro-MD"/>
              </w:rPr>
              <w:t>contrapărţii</w:t>
            </w:r>
            <w:proofErr w:type="spellEnd"/>
            <w:r w:rsidR="0019241B" w:rsidRPr="009F3ADA">
              <w:rPr>
                <w:rFonts w:ascii="Times New Roman" w:eastAsia="Times New Roman" w:hAnsi="Times New Roman" w:cs="Times New Roman"/>
                <w:sz w:val="24"/>
                <w:szCs w:val="24"/>
                <w:lang w:eastAsia="ro-MD"/>
              </w:rPr>
              <w:t xml:space="preserve"> pentru bănci. </w:t>
            </w:r>
          </w:p>
        </w:tc>
      </w:tr>
    </w:tbl>
    <w:p w14:paraId="69C60FD8" w14:textId="77777777" w:rsidR="001D5554" w:rsidRPr="009F3ADA" w:rsidRDefault="001D5554" w:rsidP="001D5554">
      <w:pPr>
        <w:spacing w:before="100" w:beforeAutospacing="1" w:after="100" w:afterAutospacing="1" w:line="240" w:lineRule="auto"/>
        <w:rPr>
          <w:rFonts w:ascii="Times New Roman" w:eastAsia="Times New Roman" w:hAnsi="Times New Roman" w:cs="Times New Roman"/>
          <w:color w:val="000000"/>
          <w:sz w:val="27"/>
          <w:szCs w:val="27"/>
          <w:lang w:eastAsia="ro-MD"/>
        </w:rPr>
      </w:pPr>
    </w:p>
    <w:tbl>
      <w:tblPr>
        <w:tblStyle w:val="TableGrid"/>
        <w:tblW w:w="9665" w:type="dxa"/>
        <w:tblLook w:val="04A0" w:firstRow="1" w:lastRow="0" w:firstColumn="1" w:lastColumn="0" w:noHBand="0" w:noVBand="1"/>
      </w:tblPr>
      <w:tblGrid>
        <w:gridCol w:w="900"/>
        <w:gridCol w:w="8765"/>
      </w:tblGrid>
      <w:tr w:rsidR="001D5554" w:rsidRPr="009F3ADA" w14:paraId="2936B2AE" w14:textId="77777777" w:rsidTr="001E5BEB">
        <w:trPr>
          <w:trHeight w:val="267"/>
        </w:trPr>
        <w:tc>
          <w:tcPr>
            <w:tcW w:w="0" w:type="auto"/>
            <w:gridSpan w:val="2"/>
            <w:hideMark/>
          </w:tcPr>
          <w:p w14:paraId="6E5AB74B" w14:textId="77777777" w:rsidR="001D5554" w:rsidRPr="009F3ADA" w:rsidRDefault="001D5554" w:rsidP="001D5554">
            <w:pPr>
              <w:spacing w:before="100" w:beforeAutospacing="1" w:after="100" w:afterAutospacing="1"/>
              <w:rPr>
                <w:rFonts w:ascii="Times New Roman" w:eastAsia="Times New Roman" w:hAnsi="Times New Roman" w:cs="Times New Roman"/>
                <w:b/>
                <w:bCs/>
                <w:sz w:val="24"/>
                <w:szCs w:val="24"/>
                <w:lang w:eastAsia="ro-MD"/>
              </w:rPr>
            </w:pPr>
            <w:r w:rsidRPr="009F3ADA">
              <w:rPr>
                <w:rFonts w:ascii="Times New Roman" w:eastAsia="Times New Roman" w:hAnsi="Times New Roman" w:cs="Times New Roman"/>
                <w:b/>
                <w:bCs/>
                <w:sz w:val="24"/>
                <w:szCs w:val="24"/>
                <w:lang w:eastAsia="ro-MD"/>
              </w:rPr>
              <w:t>Rânduri</w:t>
            </w:r>
          </w:p>
        </w:tc>
      </w:tr>
      <w:tr w:rsidR="001D5554" w:rsidRPr="009F3ADA" w14:paraId="624F0293" w14:textId="77777777" w:rsidTr="001E5BEB">
        <w:trPr>
          <w:trHeight w:val="1100"/>
        </w:trPr>
        <w:tc>
          <w:tcPr>
            <w:tcW w:w="0" w:type="auto"/>
            <w:hideMark/>
          </w:tcPr>
          <w:p w14:paraId="32718F8F"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0010-0100</w:t>
            </w:r>
          </w:p>
        </w:tc>
        <w:tc>
          <w:tcPr>
            <w:tcW w:w="0" w:type="auto"/>
            <w:hideMark/>
          </w:tcPr>
          <w:p w14:paraId="499D2C54"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 xml:space="preserve"> centrală calificată (CPCC)</w:t>
            </w:r>
          </w:p>
          <w:p w14:paraId="2DBA6204" w14:textId="5927A9EE"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O </w:t>
            </w:r>
            <w:proofErr w:type="spellStart"/>
            <w:r w:rsidRPr="009F3ADA">
              <w:rPr>
                <w:rFonts w:ascii="Times New Roman" w:eastAsia="Times New Roman" w:hAnsi="Times New Roman" w:cs="Times New Roman"/>
                <w:sz w:val="24"/>
                <w:szCs w:val="24"/>
                <w:lang w:eastAsia="ro-MD"/>
              </w:rPr>
              <w:t>contraparte</w:t>
            </w:r>
            <w:proofErr w:type="spellEnd"/>
            <w:r w:rsidRPr="009F3ADA">
              <w:rPr>
                <w:rFonts w:ascii="Times New Roman" w:eastAsia="Times New Roman" w:hAnsi="Times New Roman" w:cs="Times New Roman"/>
                <w:sz w:val="24"/>
                <w:szCs w:val="24"/>
                <w:lang w:eastAsia="ro-MD"/>
              </w:rPr>
              <w:t xml:space="preserve"> centrală calificată sau „CPCC”, astfel cum este definită </w:t>
            </w:r>
            <w:r w:rsidR="00A27A5B" w:rsidRPr="009F3ADA">
              <w:rPr>
                <w:rFonts w:ascii="Times New Roman" w:eastAsia="Times New Roman" w:hAnsi="Times New Roman" w:cs="Times New Roman"/>
                <w:sz w:val="24"/>
                <w:szCs w:val="24"/>
                <w:lang w:eastAsia="ro-MD"/>
              </w:rPr>
              <w:t xml:space="preserve">la punctul 3 din Regulamentul </w:t>
            </w:r>
            <w:r w:rsidR="00ED3A84" w:rsidRPr="009F3ADA">
              <w:rPr>
                <w:rFonts w:ascii="Times New Roman" w:eastAsia="Times New Roman" w:hAnsi="Times New Roman" w:cs="Times New Roman"/>
                <w:sz w:val="24"/>
                <w:szCs w:val="24"/>
                <w:lang w:eastAsia="ro-MD"/>
              </w:rPr>
              <w:t xml:space="preserve">nr.220/2025 </w:t>
            </w:r>
            <w:r w:rsidR="00A27A5B" w:rsidRPr="009F3ADA">
              <w:rPr>
                <w:rFonts w:ascii="Times New Roman" w:eastAsia="Times New Roman" w:hAnsi="Times New Roman" w:cs="Times New Roman"/>
                <w:sz w:val="24"/>
                <w:szCs w:val="24"/>
                <w:lang w:eastAsia="ro-MD"/>
              </w:rPr>
              <w:t xml:space="preserve">cu privire la tratamentul riscului de credit al </w:t>
            </w:r>
            <w:proofErr w:type="spellStart"/>
            <w:r w:rsidR="00A27A5B" w:rsidRPr="009F3ADA">
              <w:rPr>
                <w:rFonts w:ascii="Times New Roman" w:eastAsia="Times New Roman" w:hAnsi="Times New Roman" w:cs="Times New Roman"/>
                <w:sz w:val="24"/>
                <w:szCs w:val="24"/>
                <w:lang w:eastAsia="ro-MD"/>
              </w:rPr>
              <w:t>contrapărţii</w:t>
            </w:r>
            <w:proofErr w:type="spellEnd"/>
            <w:r w:rsidR="00A27A5B" w:rsidRPr="009F3ADA">
              <w:rPr>
                <w:rFonts w:ascii="Times New Roman" w:eastAsia="Times New Roman" w:hAnsi="Times New Roman" w:cs="Times New Roman"/>
                <w:sz w:val="24"/>
                <w:szCs w:val="24"/>
                <w:lang w:eastAsia="ro-MD"/>
              </w:rPr>
              <w:t xml:space="preserve"> pentru bănci.</w:t>
            </w:r>
          </w:p>
        </w:tc>
      </w:tr>
      <w:tr w:rsidR="001D5554" w:rsidRPr="009F3ADA" w14:paraId="6BB7EE7B" w14:textId="77777777" w:rsidTr="001E5BEB">
        <w:trPr>
          <w:trHeight w:val="1918"/>
        </w:trPr>
        <w:tc>
          <w:tcPr>
            <w:tcW w:w="0" w:type="auto"/>
            <w:hideMark/>
          </w:tcPr>
          <w:p w14:paraId="0C22BA6A"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0070, 0080</w:t>
            </w:r>
          </w:p>
          <w:p w14:paraId="2B563566"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0170, 0180</w:t>
            </w:r>
          </w:p>
        </w:tc>
        <w:tc>
          <w:tcPr>
            <w:tcW w:w="0" w:type="auto"/>
            <w:hideMark/>
          </w:tcPr>
          <w:p w14:paraId="254B4912"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Marja inițială</w:t>
            </w:r>
          </w:p>
          <w:p w14:paraId="543F0829"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formularul C 34.08.</w:t>
            </w:r>
          </w:p>
          <w:p w14:paraId="1128F7D2"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În sensul prezentului formular, marja inițială nu include contribuțiile către o CPC pentru acordurile </w:t>
            </w:r>
            <w:proofErr w:type="spellStart"/>
            <w:r w:rsidRPr="009F3ADA">
              <w:rPr>
                <w:rFonts w:ascii="Times New Roman" w:eastAsia="Times New Roman" w:hAnsi="Times New Roman" w:cs="Times New Roman"/>
                <w:sz w:val="24"/>
                <w:szCs w:val="24"/>
                <w:lang w:eastAsia="ro-MD"/>
              </w:rPr>
              <w:t>mutualizate</w:t>
            </w:r>
            <w:proofErr w:type="spellEnd"/>
            <w:r w:rsidRPr="009F3ADA">
              <w:rPr>
                <w:rFonts w:ascii="Times New Roman" w:eastAsia="Times New Roman" w:hAnsi="Times New Roman" w:cs="Times New Roman"/>
                <w:sz w:val="24"/>
                <w:szCs w:val="24"/>
                <w:lang w:eastAsia="ro-MD"/>
              </w:rPr>
              <w:t xml:space="preserve"> de partajare a pierderilor (de exemplu, în cazul în care o CPC utilizează marja inițială pentru a </w:t>
            </w:r>
            <w:proofErr w:type="spellStart"/>
            <w:r w:rsidRPr="009F3ADA">
              <w:rPr>
                <w:rFonts w:ascii="Times New Roman" w:eastAsia="Times New Roman" w:hAnsi="Times New Roman" w:cs="Times New Roman"/>
                <w:sz w:val="24"/>
                <w:szCs w:val="24"/>
                <w:lang w:eastAsia="ro-MD"/>
              </w:rPr>
              <w:t>mutualiza</w:t>
            </w:r>
            <w:proofErr w:type="spellEnd"/>
            <w:r w:rsidRPr="009F3ADA">
              <w:rPr>
                <w:rFonts w:ascii="Times New Roman" w:eastAsia="Times New Roman" w:hAnsi="Times New Roman" w:cs="Times New Roman"/>
                <w:sz w:val="24"/>
                <w:szCs w:val="24"/>
                <w:lang w:eastAsia="ro-MD"/>
              </w:rPr>
              <w:t xml:space="preserve"> pierderile între membrii compensatori, aceasta trebuie tratată ca o expunere la fondul de garantare).</w:t>
            </w:r>
          </w:p>
        </w:tc>
      </w:tr>
      <w:tr w:rsidR="001D5554" w:rsidRPr="009F3ADA" w14:paraId="42CDA19C" w14:textId="77777777" w:rsidTr="001E5BEB">
        <w:trPr>
          <w:trHeight w:val="1100"/>
        </w:trPr>
        <w:tc>
          <w:tcPr>
            <w:tcW w:w="0" w:type="auto"/>
            <w:hideMark/>
          </w:tcPr>
          <w:p w14:paraId="0A44D18F"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lastRenderedPageBreak/>
              <w:t>0090, 0190</w:t>
            </w:r>
          </w:p>
        </w:tc>
        <w:tc>
          <w:tcPr>
            <w:tcW w:w="0" w:type="auto"/>
            <w:hideMark/>
          </w:tcPr>
          <w:p w14:paraId="0D280B95"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 xml:space="preserve">Contribuții </w:t>
            </w:r>
            <w:proofErr w:type="spellStart"/>
            <w:r w:rsidRPr="009F3ADA">
              <w:rPr>
                <w:rFonts w:ascii="Times New Roman" w:eastAsia="Times New Roman" w:hAnsi="Times New Roman" w:cs="Times New Roman"/>
                <w:sz w:val="24"/>
                <w:szCs w:val="24"/>
                <w:lang w:eastAsia="ro-MD"/>
              </w:rPr>
              <w:t>prefinanțate</w:t>
            </w:r>
            <w:proofErr w:type="spellEnd"/>
            <w:r w:rsidRPr="009F3ADA">
              <w:rPr>
                <w:rFonts w:ascii="Times New Roman" w:eastAsia="Times New Roman" w:hAnsi="Times New Roman" w:cs="Times New Roman"/>
                <w:sz w:val="24"/>
                <w:szCs w:val="24"/>
                <w:lang w:eastAsia="ro-MD"/>
              </w:rPr>
              <w:t xml:space="preserve"> la fondul de garantare</w:t>
            </w:r>
          </w:p>
          <w:p w14:paraId="5451022F" w14:textId="5F3A7EEE" w:rsidR="001D5554" w:rsidRPr="009F3ADA" w:rsidRDefault="00780F9C"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Punctele 1</w:t>
            </w:r>
            <w:r w:rsidR="00D27AFC" w:rsidRPr="009F3ADA">
              <w:rPr>
                <w:rFonts w:ascii="Times New Roman" w:eastAsia="Times New Roman" w:hAnsi="Times New Roman" w:cs="Times New Roman"/>
                <w:sz w:val="24"/>
                <w:szCs w:val="24"/>
                <w:lang w:eastAsia="ro-MD"/>
              </w:rPr>
              <w:t>50</w:t>
            </w:r>
            <w:r w:rsidRPr="009F3ADA">
              <w:rPr>
                <w:rFonts w:ascii="Times New Roman" w:eastAsia="Times New Roman" w:hAnsi="Times New Roman" w:cs="Times New Roman"/>
                <w:sz w:val="24"/>
                <w:szCs w:val="24"/>
                <w:lang w:eastAsia="ro-MD"/>
              </w:rPr>
              <w:t>-1</w:t>
            </w:r>
            <w:r w:rsidR="00D27AFC" w:rsidRPr="009F3ADA">
              <w:rPr>
                <w:rFonts w:ascii="Times New Roman" w:eastAsia="Times New Roman" w:hAnsi="Times New Roman" w:cs="Times New Roman"/>
                <w:sz w:val="24"/>
                <w:szCs w:val="24"/>
                <w:lang w:eastAsia="ro-MD"/>
              </w:rPr>
              <w:t>54</w:t>
            </w:r>
            <w:r w:rsidR="00CE3ECD" w:rsidRPr="009F3ADA">
              <w:rPr>
                <w:rFonts w:ascii="Times New Roman" w:eastAsia="Times New Roman" w:hAnsi="Times New Roman" w:cs="Times New Roman"/>
                <w:sz w:val="24"/>
                <w:szCs w:val="24"/>
                <w:lang w:eastAsia="ro-MD"/>
              </w:rPr>
              <w:t xml:space="preserve"> </w:t>
            </w:r>
            <w:r w:rsidRPr="009F3ADA">
              <w:rPr>
                <w:rFonts w:ascii="Times New Roman" w:eastAsia="Times New Roman" w:hAnsi="Times New Roman" w:cs="Times New Roman"/>
                <w:sz w:val="24"/>
                <w:szCs w:val="24"/>
                <w:lang w:eastAsia="ro-MD"/>
              </w:rPr>
              <w:t xml:space="preserve">din Regulamentul </w:t>
            </w:r>
            <w:r w:rsidR="00ED3A84"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8B7262" w:rsidRPr="009F3ADA">
              <w:rPr>
                <w:rFonts w:ascii="Times New Roman" w:eastAsia="Times New Roman" w:hAnsi="Times New Roman" w:cs="Times New Roman"/>
                <w:sz w:val="24"/>
                <w:szCs w:val="24"/>
                <w:lang w:eastAsia="ro-MD"/>
              </w:rPr>
              <w:t>.</w:t>
            </w:r>
          </w:p>
        </w:tc>
      </w:tr>
      <w:tr w:rsidR="001D5554" w:rsidRPr="009F3ADA" w14:paraId="51D95445" w14:textId="77777777" w:rsidTr="001E5BEB">
        <w:trPr>
          <w:trHeight w:val="2201"/>
        </w:trPr>
        <w:tc>
          <w:tcPr>
            <w:tcW w:w="0" w:type="auto"/>
            <w:hideMark/>
          </w:tcPr>
          <w:p w14:paraId="65BDC406"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0100, 0200</w:t>
            </w:r>
          </w:p>
        </w:tc>
        <w:tc>
          <w:tcPr>
            <w:tcW w:w="0" w:type="auto"/>
            <w:hideMark/>
          </w:tcPr>
          <w:p w14:paraId="3C15F8AA"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Contribuții nefinanțate la fondul de garantare</w:t>
            </w:r>
          </w:p>
          <w:p w14:paraId="4AFBDA29" w14:textId="2A981231" w:rsidR="00321A0B" w:rsidRPr="009F3ADA" w:rsidRDefault="00C73D1C" w:rsidP="00321A0B">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Punctele 1</w:t>
            </w:r>
            <w:r w:rsidR="008B7262" w:rsidRPr="009F3ADA">
              <w:rPr>
                <w:rFonts w:ascii="Times New Roman" w:eastAsia="Times New Roman" w:hAnsi="Times New Roman" w:cs="Times New Roman"/>
                <w:sz w:val="24"/>
                <w:szCs w:val="24"/>
                <w:lang w:eastAsia="ro-MD"/>
              </w:rPr>
              <w:t>53-</w:t>
            </w:r>
            <w:r w:rsidRPr="009F3ADA">
              <w:rPr>
                <w:rFonts w:ascii="Times New Roman" w:eastAsia="Times New Roman" w:hAnsi="Times New Roman" w:cs="Times New Roman"/>
                <w:sz w:val="24"/>
                <w:szCs w:val="24"/>
                <w:lang w:eastAsia="ro-MD"/>
              </w:rPr>
              <w:t>1</w:t>
            </w:r>
            <w:r w:rsidR="001E0ECB" w:rsidRPr="009F3ADA">
              <w:rPr>
                <w:rFonts w:ascii="Times New Roman" w:eastAsia="Times New Roman" w:hAnsi="Times New Roman" w:cs="Times New Roman"/>
                <w:sz w:val="24"/>
                <w:szCs w:val="24"/>
                <w:lang w:eastAsia="ro-MD"/>
              </w:rPr>
              <w:t>5</w:t>
            </w:r>
            <w:r w:rsidR="008B7262" w:rsidRPr="009F3ADA">
              <w:rPr>
                <w:rFonts w:ascii="Times New Roman" w:eastAsia="Times New Roman" w:hAnsi="Times New Roman" w:cs="Times New Roman"/>
                <w:sz w:val="24"/>
                <w:szCs w:val="24"/>
                <w:lang w:eastAsia="ro-MD"/>
              </w:rPr>
              <w:t>5</w:t>
            </w:r>
            <w:r w:rsidR="001E0ECB" w:rsidRPr="009F3ADA">
              <w:rPr>
                <w:rFonts w:ascii="Times New Roman" w:eastAsia="Times New Roman" w:hAnsi="Times New Roman" w:cs="Times New Roman"/>
                <w:sz w:val="24"/>
                <w:szCs w:val="24"/>
                <w:lang w:eastAsia="ro-MD"/>
              </w:rPr>
              <w:t xml:space="preserve"> </w:t>
            </w:r>
            <w:r w:rsidRPr="009F3ADA">
              <w:rPr>
                <w:rFonts w:ascii="Times New Roman" w:eastAsia="Times New Roman" w:hAnsi="Times New Roman" w:cs="Times New Roman"/>
                <w:sz w:val="24"/>
                <w:szCs w:val="24"/>
                <w:lang w:eastAsia="ro-MD"/>
              </w:rPr>
              <w:t xml:space="preserve">din Regulamentul </w:t>
            </w:r>
            <w:r w:rsidR="00ED3A84" w:rsidRPr="009F3ADA">
              <w:rPr>
                <w:rFonts w:ascii="Times New Roman" w:eastAsia="Times New Roman" w:hAnsi="Times New Roman" w:cs="Times New Roman"/>
                <w:sz w:val="24"/>
                <w:szCs w:val="24"/>
                <w:lang w:eastAsia="ro-MD"/>
              </w:rPr>
              <w:t xml:space="preserve">nr.220/2025 </w:t>
            </w:r>
            <w:r w:rsidRPr="009F3ADA">
              <w:rPr>
                <w:rFonts w:ascii="Times New Roman" w:eastAsia="Times New Roman" w:hAnsi="Times New Roman" w:cs="Times New Roman"/>
                <w:sz w:val="24"/>
                <w:szCs w:val="24"/>
                <w:lang w:eastAsia="ro-MD"/>
              </w:rPr>
              <w:t xml:space="preserve">cu privire la tratamentul riscului de credit al </w:t>
            </w:r>
            <w:proofErr w:type="spellStart"/>
            <w:r w:rsidRPr="009F3ADA">
              <w:rPr>
                <w:rFonts w:ascii="Times New Roman" w:eastAsia="Times New Roman" w:hAnsi="Times New Roman" w:cs="Times New Roman"/>
                <w:sz w:val="24"/>
                <w:szCs w:val="24"/>
                <w:lang w:eastAsia="ro-MD"/>
              </w:rPr>
              <w:t>contrapărţii</w:t>
            </w:r>
            <w:proofErr w:type="spellEnd"/>
            <w:r w:rsidRPr="009F3ADA">
              <w:rPr>
                <w:rFonts w:ascii="Times New Roman" w:eastAsia="Times New Roman" w:hAnsi="Times New Roman" w:cs="Times New Roman"/>
                <w:sz w:val="24"/>
                <w:szCs w:val="24"/>
                <w:lang w:eastAsia="ro-MD"/>
              </w:rPr>
              <w:t xml:space="preserve"> pentru bănci</w:t>
            </w:r>
            <w:r w:rsidR="00321A0B" w:rsidRPr="009F3ADA">
              <w:rPr>
                <w:rFonts w:ascii="Times New Roman" w:eastAsia="Times New Roman" w:hAnsi="Times New Roman" w:cs="Times New Roman"/>
                <w:sz w:val="24"/>
                <w:szCs w:val="24"/>
                <w:lang w:eastAsia="ro-MD"/>
              </w:rPr>
              <w:t>.</w:t>
            </w:r>
          </w:p>
          <w:p w14:paraId="16017B06" w14:textId="70CEDCDC" w:rsidR="001D5554" w:rsidRPr="009F3ADA" w:rsidRDefault="007C37CB" w:rsidP="00321A0B">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Băncile</w:t>
            </w:r>
            <w:r w:rsidR="001D5554" w:rsidRPr="009F3ADA">
              <w:rPr>
                <w:rFonts w:ascii="Times New Roman" w:eastAsia="Times New Roman" w:hAnsi="Times New Roman" w:cs="Times New Roman"/>
                <w:sz w:val="24"/>
                <w:szCs w:val="24"/>
                <w:lang w:eastAsia="ro-MD"/>
              </w:rPr>
              <w:t xml:space="preserve"> raportează contribuțiile pe care </w:t>
            </w:r>
            <w:r w:rsidRPr="009F3ADA">
              <w:rPr>
                <w:rFonts w:ascii="Times New Roman" w:eastAsia="Times New Roman" w:hAnsi="Times New Roman" w:cs="Times New Roman"/>
                <w:sz w:val="24"/>
                <w:szCs w:val="24"/>
                <w:lang w:eastAsia="ro-MD"/>
              </w:rPr>
              <w:t>banca</w:t>
            </w:r>
            <w:r w:rsidR="001D5554" w:rsidRPr="009F3ADA">
              <w:rPr>
                <w:rFonts w:ascii="Times New Roman" w:eastAsia="Times New Roman" w:hAnsi="Times New Roman" w:cs="Times New Roman"/>
                <w:sz w:val="24"/>
                <w:szCs w:val="24"/>
                <w:lang w:eastAsia="ro-MD"/>
              </w:rPr>
              <w:t xml:space="preserve"> care acționează ca membru compensator s-a angajat contractual să le furnizeze unei CPC după ce aceasta din urmă și-a epuizat fondul de garantare pentru a acoperi pierderile suportate ca urmare a intrării în stare de nerambursare a unuia sau a mai multora dintre membrii săi compensatori.</w:t>
            </w:r>
          </w:p>
        </w:tc>
      </w:tr>
      <w:tr w:rsidR="001D5554" w:rsidRPr="009F3ADA" w14:paraId="0B569E0D" w14:textId="77777777" w:rsidTr="001E5BEB">
        <w:trPr>
          <w:trHeight w:val="817"/>
        </w:trPr>
        <w:tc>
          <w:tcPr>
            <w:tcW w:w="0" w:type="auto"/>
            <w:hideMark/>
          </w:tcPr>
          <w:p w14:paraId="1982B2A9"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0070, 0170</w:t>
            </w:r>
          </w:p>
        </w:tc>
        <w:tc>
          <w:tcPr>
            <w:tcW w:w="0" w:type="auto"/>
            <w:hideMark/>
          </w:tcPr>
          <w:p w14:paraId="460CBDD5"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Segregate</w:t>
            </w:r>
          </w:p>
          <w:p w14:paraId="71DB764F"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formularul C 34.08.</w:t>
            </w:r>
          </w:p>
        </w:tc>
      </w:tr>
      <w:tr w:rsidR="001D5554" w:rsidRPr="009F3ADA" w14:paraId="1E3EF927" w14:textId="77777777" w:rsidTr="001E5BEB">
        <w:trPr>
          <w:trHeight w:val="832"/>
        </w:trPr>
        <w:tc>
          <w:tcPr>
            <w:tcW w:w="0" w:type="auto"/>
            <w:hideMark/>
          </w:tcPr>
          <w:p w14:paraId="14FA1B30"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0080, 0180</w:t>
            </w:r>
          </w:p>
        </w:tc>
        <w:tc>
          <w:tcPr>
            <w:tcW w:w="0" w:type="auto"/>
            <w:hideMark/>
          </w:tcPr>
          <w:p w14:paraId="59F1B855"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Nesegregate</w:t>
            </w:r>
          </w:p>
          <w:p w14:paraId="2939820D" w14:textId="77777777" w:rsidR="001D5554" w:rsidRPr="009F3ADA" w:rsidRDefault="001D5554" w:rsidP="001D5554">
            <w:pPr>
              <w:spacing w:before="100" w:beforeAutospacing="1" w:after="100" w:afterAutospacing="1"/>
              <w:rPr>
                <w:rFonts w:ascii="Times New Roman" w:eastAsia="Times New Roman" w:hAnsi="Times New Roman" w:cs="Times New Roman"/>
                <w:sz w:val="24"/>
                <w:szCs w:val="24"/>
                <w:lang w:eastAsia="ro-MD"/>
              </w:rPr>
            </w:pPr>
            <w:r w:rsidRPr="009F3ADA">
              <w:rPr>
                <w:rFonts w:ascii="Times New Roman" w:eastAsia="Times New Roman" w:hAnsi="Times New Roman" w:cs="Times New Roman"/>
                <w:sz w:val="24"/>
                <w:szCs w:val="24"/>
                <w:lang w:eastAsia="ro-MD"/>
              </w:rPr>
              <w:t>A se vedea instrucțiunile pentru formularul C 34.08.</w:t>
            </w:r>
          </w:p>
        </w:tc>
      </w:tr>
    </w:tbl>
    <w:p w14:paraId="394E29D4" w14:textId="77777777" w:rsidR="001D5554" w:rsidRPr="009F3ADA" w:rsidRDefault="001D5554" w:rsidP="001D5554">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782C53E7"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C3C9B27"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192FCDE2"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694677FF"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0911EF4C" w14:textId="77777777" w:rsidR="001D5554" w:rsidRPr="009F3ADA" w:rsidRDefault="001D5554" w:rsidP="001102FE">
      <w:pPr>
        <w:spacing w:before="100" w:beforeAutospacing="1" w:after="100" w:afterAutospacing="1" w:line="240" w:lineRule="auto"/>
        <w:rPr>
          <w:rFonts w:ascii="Times New Roman" w:eastAsia="Times New Roman" w:hAnsi="Times New Roman" w:cs="Times New Roman"/>
          <w:color w:val="000000"/>
          <w:sz w:val="27"/>
          <w:szCs w:val="27"/>
          <w:lang w:eastAsia="ro-MD"/>
        </w:rPr>
      </w:pPr>
    </w:p>
    <w:p w14:paraId="3451BAB7" w14:textId="77777777" w:rsidR="006B482C" w:rsidRPr="009F3ADA" w:rsidRDefault="006B482C" w:rsidP="006F7FA2">
      <w:pPr>
        <w:rPr>
          <w:rFonts w:ascii="Times New Roman" w:hAnsi="Times New Roman" w:cs="Times New Roman"/>
          <w:sz w:val="24"/>
          <w:szCs w:val="24"/>
        </w:rPr>
      </w:pPr>
    </w:p>
    <w:p w14:paraId="241CEDA5" w14:textId="18ACC79A" w:rsidR="006B482C" w:rsidRPr="009F3ADA" w:rsidRDefault="006B482C" w:rsidP="006F7FA2">
      <w:pPr>
        <w:rPr>
          <w:rFonts w:ascii="Times New Roman" w:hAnsi="Times New Roman" w:cs="Times New Roman"/>
          <w:sz w:val="24"/>
          <w:szCs w:val="24"/>
        </w:rPr>
      </w:pPr>
    </w:p>
    <w:p w14:paraId="6B37CBFA" w14:textId="77777777" w:rsidR="001102FE" w:rsidRPr="009F3ADA" w:rsidRDefault="001102FE" w:rsidP="006F7FA2">
      <w:pPr>
        <w:rPr>
          <w:rFonts w:ascii="Times New Roman" w:hAnsi="Times New Roman" w:cs="Times New Roman"/>
          <w:sz w:val="24"/>
          <w:szCs w:val="24"/>
        </w:rPr>
      </w:pPr>
    </w:p>
    <w:p w14:paraId="2E07AA9B" w14:textId="77777777" w:rsidR="006F7FA2" w:rsidRPr="009F3ADA" w:rsidRDefault="006F7FA2" w:rsidP="00744B2F">
      <w:pPr>
        <w:ind w:firstLine="426"/>
        <w:jc w:val="both"/>
        <w:rPr>
          <w:rFonts w:ascii="Times New Roman" w:hAnsi="Times New Roman" w:cs="Times New Roman"/>
          <w:sz w:val="24"/>
          <w:szCs w:val="24"/>
        </w:rPr>
      </w:pPr>
      <w:r w:rsidRPr="009F3ADA">
        <w:rPr>
          <w:rFonts w:ascii="Times New Roman" w:hAnsi="Times New Roman" w:cs="Times New Roman"/>
          <w:sz w:val="24"/>
          <w:szCs w:val="24"/>
        </w:rPr>
        <w:br w:type="page"/>
      </w:r>
    </w:p>
    <w:p w14:paraId="401B14A1" w14:textId="7ECD7AAA" w:rsidR="00FA597E" w:rsidRPr="009F3ADA" w:rsidRDefault="00FA597E" w:rsidP="00744B2F">
      <w:pPr>
        <w:ind w:firstLine="426"/>
        <w:jc w:val="both"/>
        <w:rPr>
          <w:rFonts w:ascii="Times New Roman" w:hAnsi="Times New Roman" w:cs="Times New Roman"/>
          <w:sz w:val="24"/>
          <w:szCs w:val="24"/>
          <w:lang w:val="ro-RO"/>
        </w:rPr>
      </w:pPr>
      <w:r w:rsidRPr="009F3ADA">
        <w:rPr>
          <w:rFonts w:ascii="Times New Roman" w:eastAsia="Calibri" w:hAnsi="Times New Roman" w:cs="Times New Roman"/>
          <w:b/>
          <w:bCs/>
          <w:sz w:val="24"/>
          <w:szCs w:val="24"/>
        </w:rPr>
        <w:lastRenderedPageBreak/>
        <w:t>2.</w:t>
      </w:r>
      <w:r w:rsidRPr="009F3ADA">
        <w:rPr>
          <w:rFonts w:ascii="Times New Roman" w:eastAsia="Calibri" w:hAnsi="Times New Roman" w:cs="Times New Roman"/>
          <w:sz w:val="24"/>
          <w:szCs w:val="24"/>
        </w:rPr>
        <w:t xml:space="preserve"> Prima prezentare a rapoartelor</w:t>
      </w:r>
      <w:r w:rsidR="00C84366" w:rsidRPr="009F3ADA">
        <w:rPr>
          <w:rFonts w:ascii="Times New Roman" w:eastAsia="Calibri" w:hAnsi="Times New Roman" w:cs="Times New Roman"/>
          <w:sz w:val="24"/>
          <w:szCs w:val="24"/>
        </w:rPr>
        <w:t xml:space="preserve"> </w:t>
      </w:r>
      <w:proofErr w:type="spellStart"/>
      <w:r w:rsidRPr="009F3ADA">
        <w:rPr>
          <w:rFonts w:ascii="Times New Roman" w:eastAsia="Calibri" w:hAnsi="Times New Roman" w:cs="Times New Roman"/>
          <w:sz w:val="24"/>
          <w:szCs w:val="24"/>
        </w:rPr>
        <w:t>menţionate</w:t>
      </w:r>
      <w:proofErr w:type="spellEnd"/>
      <w:r w:rsidRPr="009F3ADA">
        <w:rPr>
          <w:rFonts w:ascii="Times New Roman" w:eastAsia="Calibri" w:hAnsi="Times New Roman" w:cs="Times New Roman"/>
          <w:sz w:val="24"/>
          <w:szCs w:val="24"/>
        </w:rPr>
        <w:t xml:space="preserve"> la </w:t>
      </w:r>
      <w:r w:rsidR="00E545C5" w:rsidRPr="009F3ADA">
        <w:rPr>
          <w:rFonts w:ascii="Times New Roman" w:eastAsia="Calibri" w:hAnsi="Times New Roman" w:cs="Times New Roman"/>
          <w:sz w:val="24"/>
          <w:szCs w:val="24"/>
        </w:rPr>
        <w:t xml:space="preserve">punctul 14 subpunctul 8) </w:t>
      </w:r>
      <w:r w:rsidRPr="009F3ADA">
        <w:rPr>
          <w:rFonts w:ascii="Times New Roman" w:eastAsia="Calibri" w:hAnsi="Times New Roman" w:cs="Times New Roman"/>
          <w:sz w:val="24"/>
          <w:szCs w:val="24"/>
        </w:rPr>
        <w:t xml:space="preserve">din </w:t>
      </w:r>
      <w:proofErr w:type="spellStart"/>
      <w:r w:rsidRPr="009F3ADA">
        <w:rPr>
          <w:rFonts w:ascii="Times New Roman" w:eastAsia="Calibri" w:hAnsi="Times New Roman" w:cs="Times New Roman"/>
          <w:sz w:val="24"/>
          <w:szCs w:val="24"/>
        </w:rPr>
        <w:t>instrucţiunea</w:t>
      </w:r>
      <w:proofErr w:type="spellEnd"/>
      <w:r w:rsidRPr="009F3ADA">
        <w:rPr>
          <w:rFonts w:ascii="Times New Roman" w:eastAsia="Calibri" w:hAnsi="Times New Roman" w:cs="Times New Roman"/>
          <w:sz w:val="24"/>
          <w:szCs w:val="24"/>
        </w:rPr>
        <w:t xml:space="preserve"> indicată la p</w:t>
      </w:r>
      <w:r w:rsidR="00E553CB" w:rsidRPr="009F3ADA">
        <w:rPr>
          <w:rFonts w:ascii="Times New Roman" w:eastAsia="Calibri" w:hAnsi="Times New Roman" w:cs="Times New Roman"/>
          <w:sz w:val="24"/>
          <w:szCs w:val="24"/>
        </w:rPr>
        <w:t>unctul</w:t>
      </w:r>
      <w:r w:rsidRPr="009F3ADA">
        <w:rPr>
          <w:rFonts w:ascii="Times New Roman" w:eastAsia="Calibri" w:hAnsi="Times New Roman" w:cs="Times New Roman"/>
          <w:sz w:val="24"/>
          <w:szCs w:val="24"/>
        </w:rPr>
        <w:t xml:space="preserve"> 1 se va efectua pentru </w:t>
      </w:r>
      <w:proofErr w:type="spellStart"/>
      <w:r w:rsidRPr="009F3ADA">
        <w:rPr>
          <w:rFonts w:ascii="Times New Roman" w:eastAsia="Calibri" w:hAnsi="Times New Roman" w:cs="Times New Roman"/>
          <w:sz w:val="24"/>
          <w:szCs w:val="24"/>
        </w:rPr>
        <w:t>situaţia</w:t>
      </w:r>
      <w:proofErr w:type="spellEnd"/>
      <w:r w:rsidRPr="009F3ADA">
        <w:rPr>
          <w:rFonts w:ascii="Times New Roman" w:eastAsia="Calibri" w:hAnsi="Times New Roman" w:cs="Times New Roman"/>
          <w:sz w:val="24"/>
          <w:szCs w:val="24"/>
        </w:rPr>
        <w:t xml:space="preserve"> din 3</w:t>
      </w:r>
      <w:r w:rsidR="002A0CDE" w:rsidRPr="009F3ADA">
        <w:rPr>
          <w:rFonts w:ascii="Times New Roman" w:eastAsia="Calibri" w:hAnsi="Times New Roman" w:cs="Times New Roman"/>
          <w:sz w:val="24"/>
          <w:szCs w:val="24"/>
        </w:rPr>
        <w:t>0 octombrie</w:t>
      </w:r>
      <w:r w:rsidR="006E383E" w:rsidRPr="009F3ADA">
        <w:rPr>
          <w:rFonts w:ascii="Times New Roman" w:eastAsia="Calibri" w:hAnsi="Times New Roman" w:cs="Times New Roman"/>
          <w:sz w:val="24"/>
          <w:szCs w:val="24"/>
        </w:rPr>
        <w:t xml:space="preserve"> </w:t>
      </w:r>
      <w:r w:rsidRPr="009F3ADA">
        <w:rPr>
          <w:rFonts w:ascii="Times New Roman" w:eastAsia="Calibri" w:hAnsi="Times New Roman" w:cs="Times New Roman"/>
          <w:sz w:val="24"/>
          <w:szCs w:val="24"/>
        </w:rPr>
        <w:t>202</w:t>
      </w:r>
      <w:r w:rsidR="00E545C5" w:rsidRPr="009F3ADA">
        <w:rPr>
          <w:rFonts w:ascii="Times New Roman" w:eastAsia="Calibri" w:hAnsi="Times New Roman" w:cs="Times New Roman"/>
          <w:sz w:val="24"/>
          <w:szCs w:val="24"/>
        </w:rPr>
        <w:t>6</w:t>
      </w:r>
      <w:r w:rsidR="00C84366" w:rsidRPr="009F3ADA">
        <w:rPr>
          <w:rFonts w:ascii="Times New Roman" w:eastAsia="Calibri" w:hAnsi="Times New Roman" w:cs="Times New Roman"/>
          <w:sz w:val="24"/>
          <w:szCs w:val="24"/>
        </w:rPr>
        <w:t>, în cazul raportării la nivel individual și</w:t>
      </w:r>
      <w:r w:rsidR="002621F3" w:rsidRPr="009F3ADA">
        <w:rPr>
          <w:rFonts w:ascii="Times New Roman" w:eastAsia="Calibri" w:hAnsi="Times New Roman" w:cs="Times New Roman"/>
          <w:sz w:val="24"/>
          <w:szCs w:val="24"/>
        </w:rPr>
        <w:t>,</w:t>
      </w:r>
      <w:r w:rsidR="00C84366" w:rsidRPr="009F3ADA">
        <w:rPr>
          <w:rFonts w:ascii="Times New Roman" w:eastAsia="Calibri" w:hAnsi="Times New Roman" w:cs="Times New Roman"/>
          <w:sz w:val="24"/>
          <w:szCs w:val="24"/>
        </w:rPr>
        <w:t xml:space="preserve"> respectiv</w:t>
      </w:r>
      <w:r w:rsidR="002621F3" w:rsidRPr="009F3ADA">
        <w:rPr>
          <w:rFonts w:ascii="Times New Roman" w:eastAsia="Calibri" w:hAnsi="Times New Roman" w:cs="Times New Roman"/>
          <w:sz w:val="24"/>
          <w:szCs w:val="24"/>
        </w:rPr>
        <w:t>,</w:t>
      </w:r>
      <w:r w:rsidR="00C84366" w:rsidRPr="009F3ADA">
        <w:rPr>
          <w:rFonts w:ascii="Times New Roman" w:eastAsia="Calibri" w:hAnsi="Times New Roman" w:cs="Times New Roman"/>
          <w:sz w:val="24"/>
          <w:szCs w:val="24"/>
        </w:rPr>
        <w:t xml:space="preserve"> pentru situația din 3</w:t>
      </w:r>
      <w:r w:rsidR="00E545C5" w:rsidRPr="009F3ADA">
        <w:rPr>
          <w:rFonts w:ascii="Times New Roman" w:eastAsia="Calibri" w:hAnsi="Times New Roman" w:cs="Times New Roman"/>
          <w:sz w:val="24"/>
          <w:szCs w:val="24"/>
        </w:rPr>
        <w:t>1</w:t>
      </w:r>
      <w:r w:rsidR="00C84366" w:rsidRPr="009F3ADA">
        <w:rPr>
          <w:rFonts w:ascii="Times New Roman" w:eastAsia="Calibri" w:hAnsi="Times New Roman" w:cs="Times New Roman"/>
          <w:sz w:val="24"/>
          <w:szCs w:val="24"/>
        </w:rPr>
        <w:t xml:space="preserve"> </w:t>
      </w:r>
      <w:r w:rsidR="00E545C5" w:rsidRPr="009F3ADA">
        <w:rPr>
          <w:rFonts w:ascii="Times New Roman" w:eastAsia="Calibri" w:hAnsi="Times New Roman" w:cs="Times New Roman"/>
          <w:sz w:val="24"/>
          <w:szCs w:val="24"/>
        </w:rPr>
        <w:t>decembrie</w:t>
      </w:r>
      <w:r w:rsidR="00C84366" w:rsidRPr="009F3ADA">
        <w:rPr>
          <w:rFonts w:ascii="Times New Roman" w:eastAsia="Calibri" w:hAnsi="Times New Roman" w:cs="Times New Roman"/>
          <w:sz w:val="24"/>
          <w:szCs w:val="24"/>
        </w:rPr>
        <w:t xml:space="preserve"> 202</w:t>
      </w:r>
      <w:r w:rsidR="00E545C5" w:rsidRPr="009F3ADA">
        <w:rPr>
          <w:rFonts w:ascii="Times New Roman" w:eastAsia="Calibri" w:hAnsi="Times New Roman" w:cs="Times New Roman"/>
          <w:sz w:val="24"/>
          <w:szCs w:val="24"/>
        </w:rPr>
        <w:t>6</w:t>
      </w:r>
      <w:r w:rsidR="00C84366" w:rsidRPr="009F3ADA">
        <w:rPr>
          <w:rFonts w:ascii="Times New Roman" w:eastAsia="Calibri" w:hAnsi="Times New Roman" w:cs="Times New Roman"/>
          <w:sz w:val="24"/>
          <w:szCs w:val="24"/>
        </w:rPr>
        <w:t xml:space="preserve">, în cazul raportării </w:t>
      </w:r>
      <w:r w:rsidR="00EB5C70" w:rsidRPr="009F3ADA">
        <w:rPr>
          <w:rFonts w:ascii="Times New Roman" w:eastAsia="Calibri" w:hAnsi="Times New Roman" w:cs="Times New Roman"/>
          <w:sz w:val="24"/>
          <w:szCs w:val="24"/>
        </w:rPr>
        <w:t>pe bază</w:t>
      </w:r>
      <w:r w:rsidR="00C84366" w:rsidRPr="009F3ADA">
        <w:rPr>
          <w:rFonts w:ascii="Times New Roman" w:eastAsia="Calibri" w:hAnsi="Times New Roman" w:cs="Times New Roman"/>
          <w:sz w:val="24"/>
          <w:szCs w:val="24"/>
        </w:rPr>
        <w:t xml:space="preserve"> consolidat</w:t>
      </w:r>
      <w:r w:rsidR="00EB5C70" w:rsidRPr="009F3ADA">
        <w:rPr>
          <w:rFonts w:ascii="Times New Roman" w:eastAsia="Calibri" w:hAnsi="Times New Roman" w:cs="Times New Roman"/>
          <w:sz w:val="24"/>
          <w:szCs w:val="24"/>
        </w:rPr>
        <w:t>ă</w:t>
      </w:r>
      <w:r w:rsidRPr="009F3ADA">
        <w:rPr>
          <w:rFonts w:ascii="Times New Roman" w:eastAsia="Calibri" w:hAnsi="Times New Roman" w:cs="Times New Roman"/>
          <w:sz w:val="24"/>
          <w:szCs w:val="24"/>
        </w:rPr>
        <w:t>.</w:t>
      </w:r>
    </w:p>
    <w:p w14:paraId="3288B241" w14:textId="566DEAB2" w:rsidR="00FA597E" w:rsidRPr="00F56ADF" w:rsidRDefault="00FA597E" w:rsidP="000730BD">
      <w:pPr>
        <w:tabs>
          <w:tab w:val="left" w:pos="720"/>
        </w:tabs>
        <w:ind w:firstLine="426"/>
        <w:contextualSpacing/>
        <w:rPr>
          <w:rFonts w:ascii="Times New Roman" w:eastAsia="Calibri" w:hAnsi="Times New Roman" w:cs="Times New Roman"/>
          <w:sz w:val="24"/>
          <w:szCs w:val="24"/>
          <w:lang w:val="ro-RO"/>
        </w:rPr>
      </w:pPr>
      <w:r w:rsidRPr="009F3ADA">
        <w:rPr>
          <w:rFonts w:ascii="Times New Roman" w:eastAsia="Calibri" w:hAnsi="Times New Roman" w:cs="Times New Roman"/>
          <w:b/>
          <w:bCs/>
          <w:sz w:val="24"/>
          <w:szCs w:val="24"/>
        </w:rPr>
        <w:t>3.</w:t>
      </w:r>
      <w:r w:rsidRPr="009F3ADA">
        <w:rPr>
          <w:rFonts w:ascii="Times New Roman" w:eastAsia="Calibri" w:hAnsi="Times New Roman" w:cs="Times New Roman"/>
          <w:sz w:val="24"/>
          <w:szCs w:val="24"/>
        </w:rPr>
        <w:t xml:space="preserve"> Prezenta hotărâre intră în vigoare la </w:t>
      </w:r>
      <w:r w:rsidR="00EA7FF5" w:rsidRPr="009F3ADA">
        <w:rPr>
          <w:rFonts w:ascii="Times New Roman" w:eastAsia="Calibri" w:hAnsi="Times New Roman" w:cs="Times New Roman"/>
          <w:sz w:val="24"/>
          <w:szCs w:val="24"/>
        </w:rPr>
        <w:t xml:space="preserve">data de </w:t>
      </w:r>
      <w:r w:rsidR="00BD1E11" w:rsidRPr="009F3ADA">
        <w:rPr>
          <w:rFonts w:ascii="Times New Roman" w:eastAsia="Calibri" w:hAnsi="Times New Roman" w:cs="Times New Roman"/>
          <w:sz w:val="24"/>
          <w:szCs w:val="24"/>
        </w:rPr>
        <w:t xml:space="preserve">1 </w:t>
      </w:r>
      <w:r w:rsidR="00ED5393" w:rsidRPr="009F3ADA">
        <w:rPr>
          <w:rFonts w:ascii="Times New Roman" w:eastAsia="Calibri" w:hAnsi="Times New Roman" w:cs="Times New Roman"/>
          <w:sz w:val="24"/>
          <w:szCs w:val="24"/>
        </w:rPr>
        <w:t>octombrie</w:t>
      </w:r>
      <w:r w:rsidR="00BD1E11" w:rsidRPr="009F3ADA">
        <w:rPr>
          <w:rFonts w:ascii="Times New Roman" w:eastAsia="Calibri" w:hAnsi="Times New Roman" w:cs="Times New Roman"/>
          <w:sz w:val="24"/>
          <w:szCs w:val="24"/>
        </w:rPr>
        <w:t xml:space="preserve"> </w:t>
      </w:r>
      <w:r w:rsidR="00EA7FF5" w:rsidRPr="009F3ADA">
        <w:rPr>
          <w:rFonts w:ascii="Times New Roman" w:eastAsia="Calibri" w:hAnsi="Times New Roman" w:cs="Times New Roman"/>
          <w:sz w:val="24"/>
          <w:szCs w:val="24"/>
        </w:rPr>
        <w:t>202</w:t>
      </w:r>
      <w:r w:rsidR="00E545C5" w:rsidRPr="009F3ADA">
        <w:rPr>
          <w:rFonts w:ascii="Times New Roman" w:eastAsia="Calibri" w:hAnsi="Times New Roman" w:cs="Times New Roman"/>
          <w:sz w:val="24"/>
          <w:szCs w:val="24"/>
        </w:rPr>
        <w:t>6</w:t>
      </w:r>
      <w:r w:rsidR="00841270" w:rsidRPr="009F3ADA">
        <w:rPr>
          <w:rFonts w:ascii="Times New Roman" w:eastAsia="Calibri" w:hAnsi="Times New Roman" w:cs="Times New Roman"/>
          <w:sz w:val="24"/>
          <w:szCs w:val="24"/>
        </w:rPr>
        <w:t>.</w:t>
      </w:r>
    </w:p>
    <w:p w14:paraId="02382CCB" w14:textId="77777777" w:rsidR="00FA597E" w:rsidRPr="00F56ADF" w:rsidRDefault="00FA597E">
      <w:pPr>
        <w:rPr>
          <w:rFonts w:ascii="Times New Roman" w:hAnsi="Times New Roman" w:cs="Times New Roman"/>
          <w:sz w:val="24"/>
          <w:szCs w:val="24"/>
          <w:lang w:val="ro-RO"/>
        </w:rPr>
      </w:pPr>
    </w:p>
    <w:p w14:paraId="6CCBC044" w14:textId="618452BF" w:rsidR="00C84366" w:rsidRPr="00F56ADF" w:rsidRDefault="00C84366" w:rsidP="00C84366">
      <w:pPr>
        <w:rPr>
          <w:rFonts w:ascii="Times New Roman" w:hAnsi="Times New Roman" w:cs="Times New Roman"/>
          <w:sz w:val="24"/>
          <w:szCs w:val="24"/>
          <w:lang w:val="ro-RO"/>
        </w:rPr>
      </w:pPr>
    </w:p>
    <w:sectPr w:rsidR="00C84366" w:rsidRPr="00F56ADF" w:rsidSect="006B482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7E85" w14:textId="77777777" w:rsidR="00312D16" w:rsidRDefault="00312D16" w:rsidP="00DC6F61">
      <w:pPr>
        <w:spacing w:after="0" w:line="240" w:lineRule="auto"/>
      </w:pPr>
      <w:r>
        <w:separator/>
      </w:r>
    </w:p>
  </w:endnote>
  <w:endnote w:type="continuationSeparator" w:id="0">
    <w:p w14:paraId="132705E0" w14:textId="77777777" w:rsidR="00312D16" w:rsidRDefault="00312D16" w:rsidP="00DC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52EE" w14:textId="46F6393C" w:rsidR="00BA09E6" w:rsidRPr="00116EA7" w:rsidRDefault="00BA09E6" w:rsidP="00BA09E6">
    <w:pPr>
      <w:pStyle w:val="Footer"/>
      <w:jc w:val="center"/>
      <w:rPr>
        <w:rFonts w:ascii="Times New Roman" w:hAnsi="Times New Roman" w:cs="Times New Roman"/>
        <w:b/>
        <w:bCs/>
      </w:rPr>
    </w:pPr>
    <w:bookmarkStart w:id="6" w:name="TITUS1FooterPrimary"/>
    <w:proofErr w:type="spellStart"/>
    <w:r w:rsidRPr="00116EA7">
      <w:rPr>
        <w:rFonts w:ascii="Times New Roman" w:hAnsi="Times New Roman" w:cs="Times New Roman"/>
        <w:b/>
        <w:bCs/>
        <w:color w:val="000000"/>
        <w:sz w:val="16"/>
      </w:rPr>
      <w:t>Atenţie</w:t>
    </w:r>
    <w:proofErr w:type="spellEnd"/>
    <w:r w:rsidRPr="00116EA7">
      <w:rPr>
        <w:rFonts w:ascii="Times New Roman" w:hAnsi="Times New Roman" w:cs="Times New Roman"/>
        <w:b/>
        <w:bCs/>
        <w:color w:val="000000"/>
        <w:sz w:val="16"/>
      </w:rPr>
      <w:t xml:space="preserve">! Se interzice </w:t>
    </w:r>
    <w:proofErr w:type="spellStart"/>
    <w:r w:rsidRPr="00116EA7">
      <w:rPr>
        <w:rFonts w:ascii="Times New Roman" w:hAnsi="Times New Roman" w:cs="Times New Roman"/>
        <w:b/>
        <w:bCs/>
        <w:color w:val="000000"/>
        <w:sz w:val="16"/>
      </w:rPr>
      <w:t>deţinerea</w:t>
    </w:r>
    <w:proofErr w:type="spellEnd"/>
    <w:r w:rsidRPr="00116EA7">
      <w:rPr>
        <w:rFonts w:ascii="Times New Roman" w:hAnsi="Times New Roman" w:cs="Times New Roman"/>
        <w:b/>
        <w:bCs/>
        <w:color w:val="000000"/>
        <w:sz w:val="16"/>
      </w:rPr>
      <w:t>, sustragerea, alterarea, multiplicarea, distrugerea sau folosirea  acestui document fără a dispune de drept de acces autorizat.</w:t>
    </w:r>
    <w:bookmarkEnd w:id="6"/>
  </w:p>
  <w:p w14:paraId="429DE8C3" w14:textId="3D43E7F4" w:rsidR="0002281D" w:rsidRPr="00744B2F" w:rsidRDefault="009F3ADA">
    <w:pPr>
      <w:pStyle w:val="Footer"/>
      <w:jc w:val="right"/>
      <w:rPr>
        <w:rFonts w:ascii="Times New Roman" w:hAnsi="Times New Roman" w:cs="Times New Roman"/>
        <w:sz w:val="24"/>
        <w:szCs w:val="24"/>
      </w:rPr>
    </w:pPr>
    <w:sdt>
      <w:sdtPr>
        <w:rPr>
          <w:rFonts w:ascii="Times New Roman" w:hAnsi="Times New Roman" w:cs="Times New Roman"/>
        </w:rPr>
        <w:id w:val="445508108"/>
        <w:docPartObj>
          <w:docPartGallery w:val="Page Numbers (Bottom of Page)"/>
          <w:docPartUnique/>
        </w:docPartObj>
      </w:sdtPr>
      <w:sdtEndPr>
        <w:rPr>
          <w:noProof/>
          <w:sz w:val="24"/>
          <w:szCs w:val="24"/>
        </w:rPr>
      </w:sdtEndPr>
      <w:sdtContent>
        <w:r w:rsidR="0002281D" w:rsidRPr="00744B2F">
          <w:rPr>
            <w:rFonts w:ascii="Times New Roman" w:hAnsi="Times New Roman" w:cs="Times New Roman"/>
            <w:sz w:val="24"/>
            <w:szCs w:val="24"/>
          </w:rPr>
          <w:fldChar w:fldCharType="begin"/>
        </w:r>
        <w:r w:rsidR="0002281D" w:rsidRPr="00744B2F">
          <w:rPr>
            <w:rFonts w:ascii="Times New Roman" w:hAnsi="Times New Roman" w:cs="Times New Roman"/>
            <w:sz w:val="24"/>
            <w:szCs w:val="24"/>
          </w:rPr>
          <w:instrText xml:space="preserve"> PAGE   \* MERGEFORMAT </w:instrText>
        </w:r>
        <w:r w:rsidR="0002281D" w:rsidRPr="00744B2F">
          <w:rPr>
            <w:rFonts w:ascii="Times New Roman" w:hAnsi="Times New Roman" w:cs="Times New Roman"/>
            <w:sz w:val="24"/>
            <w:szCs w:val="24"/>
          </w:rPr>
          <w:fldChar w:fldCharType="separate"/>
        </w:r>
        <w:r w:rsidR="0002281D" w:rsidRPr="00744B2F">
          <w:rPr>
            <w:rFonts w:ascii="Times New Roman" w:hAnsi="Times New Roman" w:cs="Times New Roman"/>
            <w:noProof/>
            <w:sz w:val="24"/>
            <w:szCs w:val="24"/>
          </w:rPr>
          <w:t>2</w:t>
        </w:r>
        <w:r w:rsidR="0002281D" w:rsidRPr="00744B2F">
          <w:rPr>
            <w:rFonts w:ascii="Times New Roman" w:hAnsi="Times New Roman" w:cs="Times New Roman"/>
            <w:noProof/>
            <w:sz w:val="24"/>
            <w:szCs w:val="24"/>
          </w:rPr>
          <w:fldChar w:fldCharType="end"/>
        </w:r>
      </w:sdtContent>
    </w:sdt>
  </w:p>
  <w:p w14:paraId="0FBA53D0" w14:textId="19EA38CC" w:rsidR="0002281D" w:rsidRDefault="0002281D" w:rsidP="00DC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841A" w14:textId="77777777" w:rsidR="00BA09E6" w:rsidRDefault="00BA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C235" w14:textId="1D087934" w:rsidR="00BA09E6" w:rsidRPr="00BA09E6" w:rsidRDefault="00BA09E6" w:rsidP="00BA09E6">
    <w:pPr>
      <w:pStyle w:val="Footer"/>
      <w:jc w:val="center"/>
      <w:rPr>
        <w:rFonts w:ascii="Times New Roman" w:hAnsi="Times New Roman" w:cs="Times New Roman"/>
      </w:rPr>
    </w:pPr>
    <w:bookmarkStart w:id="10" w:name="TITUS2FooterPrimary"/>
    <w:proofErr w:type="spellStart"/>
    <w:r w:rsidRPr="00BA09E6">
      <w:rPr>
        <w:rFonts w:ascii="Times New Roman" w:hAnsi="Times New Roman" w:cs="Times New Roman"/>
        <w:color w:val="000000"/>
        <w:sz w:val="16"/>
      </w:rPr>
      <w:t>Atenţie</w:t>
    </w:r>
    <w:proofErr w:type="spellEnd"/>
    <w:r w:rsidRPr="00BA09E6">
      <w:rPr>
        <w:rFonts w:ascii="Times New Roman" w:hAnsi="Times New Roman" w:cs="Times New Roman"/>
        <w:color w:val="000000"/>
        <w:sz w:val="16"/>
      </w:rPr>
      <w:t xml:space="preserve">! Se interzice </w:t>
    </w:r>
    <w:proofErr w:type="spellStart"/>
    <w:r w:rsidRPr="00BA09E6">
      <w:rPr>
        <w:rFonts w:ascii="Times New Roman" w:hAnsi="Times New Roman" w:cs="Times New Roman"/>
        <w:color w:val="000000"/>
        <w:sz w:val="16"/>
      </w:rPr>
      <w:t>deţinerea</w:t>
    </w:r>
    <w:proofErr w:type="spellEnd"/>
    <w:r w:rsidRPr="00BA09E6">
      <w:rPr>
        <w:rFonts w:ascii="Times New Roman" w:hAnsi="Times New Roman" w:cs="Times New Roman"/>
        <w:color w:val="000000"/>
        <w:sz w:val="16"/>
      </w:rPr>
      <w:t>, sustragerea, alterarea, multiplicarea, distrugerea sau folosirea  acestui document fără a dispune de drept de acces autorizat.</w:t>
    </w:r>
    <w:bookmarkEnd w:id="10"/>
  </w:p>
  <w:p w14:paraId="14259788" w14:textId="7DAE3E52" w:rsidR="00BA09E6" w:rsidRPr="00744B2F" w:rsidRDefault="009F3ADA">
    <w:pPr>
      <w:pStyle w:val="Footer"/>
      <w:jc w:val="right"/>
      <w:rPr>
        <w:rFonts w:ascii="Times New Roman" w:hAnsi="Times New Roman" w:cs="Times New Roman"/>
        <w:sz w:val="24"/>
        <w:szCs w:val="24"/>
      </w:rPr>
    </w:pPr>
    <w:sdt>
      <w:sdtPr>
        <w:id w:val="-533960217"/>
        <w:docPartObj>
          <w:docPartGallery w:val="Page Numbers (Bottom of Page)"/>
          <w:docPartUnique/>
        </w:docPartObj>
      </w:sdtPr>
      <w:sdtEndPr>
        <w:rPr>
          <w:rFonts w:ascii="Times New Roman" w:hAnsi="Times New Roman" w:cs="Times New Roman"/>
          <w:noProof/>
          <w:sz w:val="24"/>
          <w:szCs w:val="24"/>
        </w:rPr>
      </w:sdtEndPr>
      <w:sdtContent>
        <w:r w:rsidR="00BA09E6" w:rsidRPr="00744B2F">
          <w:rPr>
            <w:rFonts w:ascii="Times New Roman" w:hAnsi="Times New Roman" w:cs="Times New Roman"/>
            <w:sz w:val="24"/>
            <w:szCs w:val="24"/>
          </w:rPr>
          <w:fldChar w:fldCharType="begin"/>
        </w:r>
        <w:r w:rsidR="00BA09E6" w:rsidRPr="00744B2F">
          <w:rPr>
            <w:rFonts w:ascii="Times New Roman" w:hAnsi="Times New Roman" w:cs="Times New Roman"/>
            <w:sz w:val="24"/>
            <w:szCs w:val="24"/>
          </w:rPr>
          <w:instrText xml:space="preserve"> PAGE   \* MERGEFORMAT </w:instrText>
        </w:r>
        <w:r w:rsidR="00BA09E6" w:rsidRPr="00744B2F">
          <w:rPr>
            <w:rFonts w:ascii="Times New Roman" w:hAnsi="Times New Roman" w:cs="Times New Roman"/>
            <w:sz w:val="24"/>
            <w:szCs w:val="24"/>
          </w:rPr>
          <w:fldChar w:fldCharType="separate"/>
        </w:r>
        <w:r w:rsidR="00BA09E6" w:rsidRPr="00744B2F">
          <w:rPr>
            <w:rFonts w:ascii="Times New Roman" w:hAnsi="Times New Roman" w:cs="Times New Roman"/>
            <w:noProof/>
            <w:sz w:val="24"/>
            <w:szCs w:val="24"/>
          </w:rPr>
          <w:t>2</w:t>
        </w:r>
        <w:r w:rsidR="00BA09E6" w:rsidRPr="00744B2F">
          <w:rPr>
            <w:rFonts w:ascii="Times New Roman" w:hAnsi="Times New Roman" w:cs="Times New Roman"/>
            <w:noProof/>
            <w:sz w:val="24"/>
            <w:szCs w:val="24"/>
          </w:rPr>
          <w:fldChar w:fldCharType="end"/>
        </w:r>
      </w:sdtContent>
    </w:sdt>
  </w:p>
  <w:p w14:paraId="0132F4E8" w14:textId="77777777" w:rsidR="00BA09E6" w:rsidRDefault="00BA09E6" w:rsidP="00DC6F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F3CC" w14:textId="77777777" w:rsidR="00BA09E6" w:rsidRDefault="00BA09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D161" w14:textId="77777777" w:rsidR="00BA09E6" w:rsidRDefault="00BA09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7B43" w14:textId="7D5E5F63" w:rsidR="00BA09E6" w:rsidRPr="00BA09E6" w:rsidRDefault="00BA09E6" w:rsidP="00BA09E6">
    <w:pPr>
      <w:pStyle w:val="Footer"/>
      <w:jc w:val="center"/>
      <w:rPr>
        <w:rFonts w:ascii="Times New Roman" w:hAnsi="Times New Roman" w:cs="Times New Roman"/>
      </w:rPr>
    </w:pPr>
    <w:bookmarkStart w:id="12" w:name="TITUS3FooterPrimary"/>
    <w:proofErr w:type="spellStart"/>
    <w:r w:rsidRPr="00BA09E6">
      <w:rPr>
        <w:rFonts w:ascii="Times New Roman" w:hAnsi="Times New Roman" w:cs="Times New Roman"/>
        <w:color w:val="000000"/>
        <w:sz w:val="16"/>
      </w:rPr>
      <w:t>Atenţie</w:t>
    </w:r>
    <w:proofErr w:type="spellEnd"/>
    <w:r w:rsidRPr="00BA09E6">
      <w:rPr>
        <w:rFonts w:ascii="Times New Roman" w:hAnsi="Times New Roman" w:cs="Times New Roman"/>
        <w:color w:val="000000"/>
        <w:sz w:val="16"/>
      </w:rPr>
      <w:t xml:space="preserve">! Se interzice </w:t>
    </w:r>
    <w:proofErr w:type="spellStart"/>
    <w:r w:rsidRPr="00BA09E6">
      <w:rPr>
        <w:rFonts w:ascii="Times New Roman" w:hAnsi="Times New Roman" w:cs="Times New Roman"/>
        <w:color w:val="000000"/>
        <w:sz w:val="16"/>
      </w:rPr>
      <w:t>deţinerea</w:t>
    </w:r>
    <w:proofErr w:type="spellEnd"/>
    <w:r w:rsidRPr="00BA09E6">
      <w:rPr>
        <w:rFonts w:ascii="Times New Roman" w:hAnsi="Times New Roman" w:cs="Times New Roman"/>
        <w:color w:val="000000"/>
        <w:sz w:val="16"/>
      </w:rPr>
      <w:t>, sustragerea, alterarea, multiplicarea, distrugerea sau folosirea  acestui document fără a dispune de drept de acces autorizat.</w:t>
    </w:r>
    <w:bookmarkEnd w:id="12"/>
  </w:p>
  <w:p w14:paraId="106A643C" w14:textId="6F475F22" w:rsidR="00BA09E6" w:rsidRPr="00744B2F" w:rsidRDefault="009F3ADA">
    <w:pPr>
      <w:pStyle w:val="Footer"/>
      <w:jc w:val="right"/>
      <w:rPr>
        <w:rFonts w:ascii="Times New Roman" w:hAnsi="Times New Roman" w:cs="Times New Roman"/>
        <w:sz w:val="24"/>
        <w:szCs w:val="24"/>
      </w:rPr>
    </w:pPr>
    <w:sdt>
      <w:sdtPr>
        <w:id w:val="1000386939"/>
        <w:docPartObj>
          <w:docPartGallery w:val="Page Numbers (Bottom of Page)"/>
          <w:docPartUnique/>
        </w:docPartObj>
      </w:sdtPr>
      <w:sdtEndPr>
        <w:rPr>
          <w:rFonts w:ascii="Times New Roman" w:hAnsi="Times New Roman" w:cs="Times New Roman"/>
          <w:noProof/>
          <w:sz w:val="24"/>
          <w:szCs w:val="24"/>
        </w:rPr>
      </w:sdtEndPr>
      <w:sdtContent>
        <w:r w:rsidR="00BA09E6" w:rsidRPr="00744B2F">
          <w:rPr>
            <w:rFonts w:ascii="Times New Roman" w:hAnsi="Times New Roman" w:cs="Times New Roman"/>
            <w:sz w:val="24"/>
            <w:szCs w:val="24"/>
          </w:rPr>
          <w:fldChar w:fldCharType="begin"/>
        </w:r>
        <w:r w:rsidR="00BA09E6" w:rsidRPr="00744B2F">
          <w:rPr>
            <w:rFonts w:ascii="Times New Roman" w:hAnsi="Times New Roman" w:cs="Times New Roman"/>
            <w:sz w:val="24"/>
            <w:szCs w:val="24"/>
          </w:rPr>
          <w:instrText xml:space="preserve"> PAGE   \* MERGEFORMAT </w:instrText>
        </w:r>
        <w:r w:rsidR="00BA09E6" w:rsidRPr="00744B2F">
          <w:rPr>
            <w:rFonts w:ascii="Times New Roman" w:hAnsi="Times New Roman" w:cs="Times New Roman"/>
            <w:sz w:val="24"/>
            <w:szCs w:val="24"/>
          </w:rPr>
          <w:fldChar w:fldCharType="separate"/>
        </w:r>
        <w:r w:rsidR="00BA09E6" w:rsidRPr="00744B2F">
          <w:rPr>
            <w:rFonts w:ascii="Times New Roman" w:hAnsi="Times New Roman" w:cs="Times New Roman"/>
            <w:noProof/>
            <w:sz w:val="24"/>
            <w:szCs w:val="24"/>
          </w:rPr>
          <w:t>2</w:t>
        </w:r>
        <w:r w:rsidR="00BA09E6" w:rsidRPr="00744B2F">
          <w:rPr>
            <w:rFonts w:ascii="Times New Roman" w:hAnsi="Times New Roman" w:cs="Times New Roman"/>
            <w:noProof/>
            <w:sz w:val="24"/>
            <w:szCs w:val="24"/>
          </w:rPr>
          <w:fldChar w:fldCharType="end"/>
        </w:r>
      </w:sdtContent>
    </w:sdt>
  </w:p>
  <w:p w14:paraId="5C941B3A" w14:textId="77777777" w:rsidR="00BA09E6" w:rsidRDefault="00BA09E6" w:rsidP="00DC6F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0701" w14:textId="77777777" w:rsidR="00BA09E6" w:rsidRDefault="00BA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6C47" w14:textId="77777777" w:rsidR="00312D16" w:rsidRDefault="00312D16" w:rsidP="00DC6F61">
      <w:pPr>
        <w:spacing w:after="0" w:line="240" w:lineRule="auto"/>
      </w:pPr>
      <w:r>
        <w:separator/>
      </w:r>
    </w:p>
  </w:footnote>
  <w:footnote w:type="continuationSeparator" w:id="0">
    <w:p w14:paraId="32CE1F0B" w14:textId="77777777" w:rsidR="00312D16" w:rsidRDefault="00312D16" w:rsidP="00DC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61D5" w14:textId="5D0DC2C9" w:rsidR="00BA09E6" w:rsidRPr="00116EA7" w:rsidRDefault="00BA09E6" w:rsidP="00BA09E6">
    <w:pPr>
      <w:pStyle w:val="Header"/>
      <w:jc w:val="right"/>
      <w:rPr>
        <w:rFonts w:ascii="Times New Roman" w:hAnsi="Times New Roman" w:cs="Times New Roman"/>
        <w:b/>
        <w:bCs/>
      </w:rPr>
    </w:pPr>
    <w:bookmarkStart w:id="5" w:name="TITUS1HeaderPrimary"/>
    <w:r w:rsidRPr="00116EA7">
      <w:rPr>
        <w:rFonts w:ascii="Times New Roman" w:hAnsi="Times New Roman" w:cs="Times New Roman"/>
        <w:b/>
        <w:bCs/>
        <w:color w:val="000000"/>
        <w:sz w:val="24"/>
      </w:rPr>
      <w:t>SP-2</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50EB" w14:textId="77777777" w:rsidR="00BA09E6" w:rsidRDefault="00BA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1B5A" w14:textId="26A71BE4" w:rsidR="00BA09E6" w:rsidRPr="00BA09E6" w:rsidRDefault="00BA09E6" w:rsidP="00BA09E6">
    <w:pPr>
      <w:pStyle w:val="Header"/>
      <w:jc w:val="right"/>
      <w:rPr>
        <w:rFonts w:ascii="Times New Roman" w:hAnsi="Times New Roman" w:cs="Times New Roman"/>
      </w:rPr>
    </w:pPr>
    <w:bookmarkStart w:id="9" w:name="TITUS2HeaderPrimary"/>
    <w:r w:rsidRPr="00BA09E6">
      <w:rPr>
        <w:rFonts w:ascii="Times New Roman" w:hAnsi="Times New Roman" w:cs="Times New Roman"/>
        <w:color w:val="000000"/>
        <w:sz w:val="24"/>
      </w:rPr>
      <w:t>SP-2</w:t>
    </w:r>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2C5B" w14:textId="77777777" w:rsidR="00BA09E6" w:rsidRDefault="00BA09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524E" w14:textId="77777777" w:rsidR="00BA09E6" w:rsidRDefault="00BA09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5DA2" w14:textId="29F6C7EE" w:rsidR="00BA09E6" w:rsidRPr="00BA09E6" w:rsidRDefault="00BA09E6" w:rsidP="00BA09E6">
    <w:pPr>
      <w:pStyle w:val="Header"/>
      <w:jc w:val="right"/>
      <w:rPr>
        <w:rFonts w:ascii="Times New Roman" w:hAnsi="Times New Roman" w:cs="Times New Roman"/>
      </w:rPr>
    </w:pPr>
    <w:bookmarkStart w:id="11" w:name="TITUS3HeaderPrimary"/>
    <w:r w:rsidRPr="00BA09E6">
      <w:rPr>
        <w:rFonts w:ascii="Times New Roman" w:hAnsi="Times New Roman" w:cs="Times New Roman"/>
        <w:color w:val="000000"/>
        <w:sz w:val="24"/>
      </w:rPr>
      <w:t>SP-2</w:t>
    </w:r>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B19F" w14:textId="77777777" w:rsidR="00BA09E6" w:rsidRDefault="00BA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1A11"/>
    <w:multiLevelType w:val="hybridMultilevel"/>
    <w:tmpl w:val="CFDE368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591BAE"/>
    <w:multiLevelType w:val="hybridMultilevel"/>
    <w:tmpl w:val="310A9A7E"/>
    <w:lvl w:ilvl="0" w:tplc="C804FE3E">
      <w:start w:val="1"/>
      <w:numFmt w:val="decimal"/>
      <w:lvlText w:val="%1."/>
      <w:lvlJc w:val="left"/>
      <w:pPr>
        <w:ind w:left="720" w:hanging="360"/>
      </w:pPr>
      <w:rPr>
        <w:rFonts w:asciiTheme="minorHAnsi" w:hAnsiTheme="minorHAnsi" w:cstheme="minorBidi" w:hint="default"/>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3385FBB"/>
    <w:multiLevelType w:val="hybridMultilevel"/>
    <w:tmpl w:val="C2862E2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DCD4E8A"/>
    <w:multiLevelType w:val="hybridMultilevel"/>
    <w:tmpl w:val="7ABE50B6"/>
    <w:lvl w:ilvl="0" w:tplc="C25A8760">
      <w:start w:val="1"/>
      <w:numFmt w:val="bullet"/>
      <w:lvlText w:val=""/>
      <w:lvlJc w:val="left"/>
      <w:pPr>
        <w:ind w:left="1120" w:hanging="360"/>
      </w:pPr>
      <w:rPr>
        <w:rFonts w:ascii="Symbol" w:hAnsi="Symbol"/>
      </w:rPr>
    </w:lvl>
    <w:lvl w:ilvl="1" w:tplc="06123A6C">
      <w:start w:val="1"/>
      <w:numFmt w:val="bullet"/>
      <w:lvlText w:val=""/>
      <w:lvlJc w:val="left"/>
      <w:pPr>
        <w:ind w:left="1120" w:hanging="360"/>
      </w:pPr>
      <w:rPr>
        <w:rFonts w:ascii="Symbol" w:hAnsi="Symbol"/>
      </w:rPr>
    </w:lvl>
    <w:lvl w:ilvl="2" w:tplc="CA9EC670">
      <w:start w:val="1"/>
      <w:numFmt w:val="bullet"/>
      <w:lvlText w:val=""/>
      <w:lvlJc w:val="left"/>
      <w:pPr>
        <w:ind w:left="1120" w:hanging="360"/>
      </w:pPr>
      <w:rPr>
        <w:rFonts w:ascii="Symbol" w:hAnsi="Symbol"/>
      </w:rPr>
    </w:lvl>
    <w:lvl w:ilvl="3" w:tplc="51D4AC40">
      <w:start w:val="1"/>
      <w:numFmt w:val="bullet"/>
      <w:lvlText w:val=""/>
      <w:lvlJc w:val="left"/>
      <w:pPr>
        <w:ind w:left="1120" w:hanging="360"/>
      </w:pPr>
      <w:rPr>
        <w:rFonts w:ascii="Symbol" w:hAnsi="Symbol"/>
      </w:rPr>
    </w:lvl>
    <w:lvl w:ilvl="4" w:tplc="ABC070B4">
      <w:start w:val="1"/>
      <w:numFmt w:val="bullet"/>
      <w:lvlText w:val=""/>
      <w:lvlJc w:val="left"/>
      <w:pPr>
        <w:ind w:left="1120" w:hanging="360"/>
      </w:pPr>
      <w:rPr>
        <w:rFonts w:ascii="Symbol" w:hAnsi="Symbol"/>
      </w:rPr>
    </w:lvl>
    <w:lvl w:ilvl="5" w:tplc="2DC8C260">
      <w:start w:val="1"/>
      <w:numFmt w:val="bullet"/>
      <w:lvlText w:val=""/>
      <w:lvlJc w:val="left"/>
      <w:pPr>
        <w:ind w:left="1120" w:hanging="360"/>
      </w:pPr>
      <w:rPr>
        <w:rFonts w:ascii="Symbol" w:hAnsi="Symbol"/>
      </w:rPr>
    </w:lvl>
    <w:lvl w:ilvl="6" w:tplc="66FC641A">
      <w:start w:val="1"/>
      <w:numFmt w:val="bullet"/>
      <w:lvlText w:val=""/>
      <w:lvlJc w:val="left"/>
      <w:pPr>
        <w:ind w:left="1120" w:hanging="360"/>
      </w:pPr>
      <w:rPr>
        <w:rFonts w:ascii="Symbol" w:hAnsi="Symbol"/>
      </w:rPr>
    </w:lvl>
    <w:lvl w:ilvl="7" w:tplc="A1D298F6">
      <w:start w:val="1"/>
      <w:numFmt w:val="bullet"/>
      <w:lvlText w:val=""/>
      <w:lvlJc w:val="left"/>
      <w:pPr>
        <w:ind w:left="1120" w:hanging="360"/>
      </w:pPr>
      <w:rPr>
        <w:rFonts w:ascii="Symbol" w:hAnsi="Symbol"/>
      </w:rPr>
    </w:lvl>
    <w:lvl w:ilvl="8" w:tplc="8E108A8C">
      <w:start w:val="1"/>
      <w:numFmt w:val="bullet"/>
      <w:lvlText w:val=""/>
      <w:lvlJc w:val="left"/>
      <w:pPr>
        <w:ind w:left="1120" w:hanging="360"/>
      </w:pPr>
      <w:rPr>
        <w:rFonts w:ascii="Symbol" w:hAnsi="Symbol"/>
      </w:rPr>
    </w:lvl>
  </w:abstractNum>
  <w:abstractNum w:abstractNumId="4" w15:restartNumberingAfterBreak="0">
    <w:nsid w:val="2F730E68"/>
    <w:multiLevelType w:val="hybridMultilevel"/>
    <w:tmpl w:val="49EA0522"/>
    <w:lvl w:ilvl="0" w:tplc="FFFFFFFF">
      <w:start w:val="1"/>
      <w:numFmt w:val="decimal"/>
      <w:lvlText w:val="%1."/>
      <w:lvlJc w:val="left"/>
      <w:pPr>
        <w:ind w:left="927" w:hanging="360"/>
      </w:pPr>
      <w:rPr>
        <w:rFonts w:hint="default"/>
        <w:b/>
      </w:rPr>
    </w:lvl>
    <w:lvl w:ilvl="1" w:tplc="FFFFFFFF">
      <w:start w:val="1"/>
      <w:numFmt w:val="decimal"/>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F456C82"/>
    <w:multiLevelType w:val="hybridMultilevel"/>
    <w:tmpl w:val="628ADED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485366C4"/>
    <w:multiLevelType w:val="hybridMultilevel"/>
    <w:tmpl w:val="243C8256"/>
    <w:lvl w:ilvl="0" w:tplc="C37E3D4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603222B9"/>
    <w:multiLevelType w:val="hybridMultilevel"/>
    <w:tmpl w:val="CFDE3688"/>
    <w:lvl w:ilvl="0" w:tplc="20DE4300">
      <w:start w:val="1"/>
      <w:numFmt w:val="decimal"/>
      <w:lvlText w:val="%1."/>
      <w:lvlJc w:val="left"/>
      <w:pPr>
        <w:ind w:left="720" w:hanging="360"/>
      </w:pPr>
      <w:rPr>
        <w:rFonts w:eastAsia="Calibr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55B2A31"/>
    <w:multiLevelType w:val="hybridMultilevel"/>
    <w:tmpl w:val="49EA0522"/>
    <w:lvl w:ilvl="0" w:tplc="2110A552">
      <w:start w:val="1"/>
      <w:numFmt w:val="decimal"/>
      <w:lvlText w:val="%1."/>
      <w:lvlJc w:val="left"/>
      <w:pPr>
        <w:ind w:left="927" w:hanging="360"/>
      </w:pPr>
      <w:rPr>
        <w:rFonts w:hint="default"/>
        <w:b/>
      </w:rPr>
    </w:lvl>
    <w:lvl w:ilvl="1" w:tplc="04090011">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4803425">
    <w:abstractNumId w:val="3"/>
  </w:num>
  <w:num w:numId="2" w16cid:durableId="435253462">
    <w:abstractNumId w:val="8"/>
  </w:num>
  <w:num w:numId="3" w16cid:durableId="884754386">
    <w:abstractNumId w:val="4"/>
  </w:num>
  <w:num w:numId="4" w16cid:durableId="671376968">
    <w:abstractNumId w:val="2"/>
  </w:num>
  <w:num w:numId="5" w16cid:durableId="1244071992">
    <w:abstractNumId w:val="6"/>
  </w:num>
  <w:num w:numId="6" w16cid:durableId="459765817">
    <w:abstractNumId w:val="1"/>
  </w:num>
  <w:num w:numId="7" w16cid:durableId="209652867">
    <w:abstractNumId w:val="5"/>
  </w:num>
  <w:num w:numId="8" w16cid:durableId="226501921">
    <w:abstractNumId w:val="7"/>
  </w:num>
  <w:num w:numId="9" w16cid:durableId="65217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3B"/>
    <w:rsid w:val="00000E3D"/>
    <w:rsid w:val="00007D13"/>
    <w:rsid w:val="00010D13"/>
    <w:rsid w:val="00015F97"/>
    <w:rsid w:val="00016892"/>
    <w:rsid w:val="00017081"/>
    <w:rsid w:val="00020D3E"/>
    <w:rsid w:val="00020E89"/>
    <w:rsid w:val="0002281D"/>
    <w:rsid w:val="00023954"/>
    <w:rsid w:val="0002539E"/>
    <w:rsid w:val="00025BE3"/>
    <w:rsid w:val="00027BA4"/>
    <w:rsid w:val="0003032D"/>
    <w:rsid w:val="00031482"/>
    <w:rsid w:val="0003190F"/>
    <w:rsid w:val="000321B6"/>
    <w:rsid w:val="00035975"/>
    <w:rsid w:val="0004278E"/>
    <w:rsid w:val="00042DE2"/>
    <w:rsid w:val="0004335A"/>
    <w:rsid w:val="00043472"/>
    <w:rsid w:val="00045F4B"/>
    <w:rsid w:val="00051B92"/>
    <w:rsid w:val="00052378"/>
    <w:rsid w:val="0005606B"/>
    <w:rsid w:val="000567C0"/>
    <w:rsid w:val="00060BC9"/>
    <w:rsid w:val="0006110B"/>
    <w:rsid w:val="00067175"/>
    <w:rsid w:val="00070679"/>
    <w:rsid w:val="00072C3A"/>
    <w:rsid w:val="00072C8B"/>
    <w:rsid w:val="000730BD"/>
    <w:rsid w:val="00073E60"/>
    <w:rsid w:val="00075D94"/>
    <w:rsid w:val="00076122"/>
    <w:rsid w:val="00076A70"/>
    <w:rsid w:val="00077EB2"/>
    <w:rsid w:val="00082514"/>
    <w:rsid w:val="000839A6"/>
    <w:rsid w:val="000900E1"/>
    <w:rsid w:val="0009010E"/>
    <w:rsid w:val="00092EB8"/>
    <w:rsid w:val="00093AAD"/>
    <w:rsid w:val="00093D27"/>
    <w:rsid w:val="00094240"/>
    <w:rsid w:val="00094F12"/>
    <w:rsid w:val="0009762B"/>
    <w:rsid w:val="00097A9C"/>
    <w:rsid w:val="000A40D6"/>
    <w:rsid w:val="000A5795"/>
    <w:rsid w:val="000B1C40"/>
    <w:rsid w:val="000B59F0"/>
    <w:rsid w:val="000B5F0D"/>
    <w:rsid w:val="000B6250"/>
    <w:rsid w:val="000B6CD4"/>
    <w:rsid w:val="000C06AF"/>
    <w:rsid w:val="000C0AD7"/>
    <w:rsid w:val="000C163F"/>
    <w:rsid w:val="000C2DA0"/>
    <w:rsid w:val="000C426F"/>
    <w:rsid w:val="000C55C6"/>
    <w:rsid w:val="000C7C3B"/>
    <w:rsid w:val="000D25B5"/>
    <w:rsid w:val="000D6191"/>
    <w:rsid w:val="000E398B"/>
    <w:rsid w:val="000E4CD6"/>
    <w:rsid w:val="000E51A0"/>
    <w:rsid w:val="000E7189"/>
    <w:rsid w:val="000F2CF3"/>
    <w:rsid w:val="000F36D5"/>
    <w:rsid w:val="000F50DC"/>
    <w:rsid w:val="00101854"/>
    <w:rsid w:val="00101E8E"/>
    <w:rsid w:val="0010247F"/>
    <w:rsid w:val="00102983"/>
    <w:rsid w:val="001059E0"/>
    <w:rsid w:val="001102FE"/>
    <w:rsid w:val="00111885"/>
    <w:rsid w:val="001138E6"/>
    <w:rsid w:val="00115D0C"/>
    <w:rsid w:val="00116EA7"/>
    <w:rsid w:val="001206A8"/>
    <w:rsid w:val="001220CF"/>
    <w:rsid w:val="00122A05"/>
    <w:rsid w:val="001238FA"/>
    <w:rsid w:val="001239FD"/>
    <w:rsid w:val="00125071"/>
    <w:rsid w:val="00130492"/>
    <w:rsid w:val="0013063B"/>
    <w:rsid w:val="001331FB"/>
    <w:rsid w:val="00144C3B"/>
    <w:rsid w:val="001450A5"/>
    <w:rsid w:val="00151086"/>
    <w:rsid w:val="0015385F"/>
    <w:rsid w:val="001579C4"/>
    <w:rsid w:val="001623C5"/>
    <w:rsid w:val="001658A7"/>
    <w:rsid w:val="0016775F"/>
    <w:rsid w:val="00167AF3"/>
    <w:rsid w:val="00173B0F"/>
    <w:rsid w:val="00175844"/>
    <w:rsid w:val="0017735A"/>
    <w:rsid w:val="0017776D"/>
    <w:rsid w:val="00182098"/>
    <w:rsid w:val="00191C94"/>
    <w:rsid w:val="0019241B"/>
    <w:rsid w:val="0019299B"/>
    <w:rsid w:val="00193491"/>
    <w:rsid w:val="001953BA"/>
    <w:rsid w:val="00196B72"/>
    <w:rsid w:val="00197C41"/>
    <w:rsid w:val="001B0FE3"/>
    <w:rsid w:val="001B15BA"/>
    <w:rsid w:val="001B36B9"/>
    <w:rsid w:val="001B3C46"/>
    <w:rsid w:val="001B62B2"/>
    <w:rsid w:val="001C3292"/>
    <w:rsid w:val="001C3979"/>
    <w:rsid w:val="001C4A8A"/>
    <w:rsid w:val="001D11D0"/>
    <w:rsid w:val="001D3F37"/>
    <w:rsid w:val="001D5554"/>
    <w:rsid w:val="001D5E18"/>
    <w:rsid w:val="001D6A8F"/>
    <w:rsid w:val="001E0ECB"/>
    <w:rsid w:val="001E2A95"/>
    <w:rsid w:val="001E5BEB"/>
    <w:rsid w:val="001E6E7C"/>
    <w:rsid w:val="001E74DF"/>
    <w:rsid w:val="001F1CBD"/>
    <w:rsid w:val="001F3F5C"/>
    <w:rsid w:val="001F4AD2"/>
    <w:rsid w:val="002045EE"/>
    <w:rsid w:val="002063B1"/>
    <w:rsid w:val="00206B59"/>
    <w:rsid w:val="00207A67"/>
    <w:rsid w:val="0021002F"/>
    <w:rsid w:val="00213146"/>
    <w:rsid w:val="00214130"/>
    <w:rsid w:val="002162D7"/>
    <w:rsid w:val="002172ED"/>
    <w:rsid w:val="00217353"/>
    <w:rsid w:val="00222A23"/>
    <w:rsid w:val="0022396B"/>
    <w:rsid w:val="00223B24"/>
    <w:rsid w:val="0022503B"/>
    <w:rsid w:val="00225466"/>
    <w:rsid w:val="00225F64"/>
    <w:rsid w:val="00227138"/>
    <w:rsid w:val="0023005E"/>
    <w:rsid w:val="00230CA3"/>
    <w:rsid w:val="00231626"/>
    <w:rsid w:val="00232085"/>
    <w:rsid w:val="002337BD"/>
    <w:rsid w:val="002364DC"/>
    <w:rsid w:val="002407C8"/>
    <w:rsid w:val="002413C1"/>
    <w:rsid w:val="00243916"/>
    <w:rsid w:val="002442F3"/>
    <w:rsid w:val="00247F9D"/>
    <w:rsid w:val="00251187"/>
    <w:rsid w:val="002514A7"/>
    <w:rsid w:val="0025291B"/>
    <w:rsid w:val="00252FB6"/>
    <w:rsid w:val="00254361"/>
    <w:rsid w:val="00255704"/>
    <w:rsid w:val="00256C94"/>
    <w:rsid w:val="00257812"/>
    <w:rsid w:val="00261AF0"/>
    <w:rsid w:val="002621F3"/>
    <w:rsid w:val="00262E2D"/>
    <w:rsid w:val="00263C8D"/>
    <w:rsid w:val="00264025"/>
    <w:rsid w:val="00264DF7"/>
    <w:rsid w:val="00265CB3"/>
    <w:rsid w:val="002716B5"/>
    <w:rsid w:val="00275EEA"/>
    <w:rsid w:val="00283074"/>
    <w:rsid w:val="002833A9"/>
    <w:rsid w:val="00285372"/>
    <w:rsid w:val="00290867"/>
    <w:rsid w:val="00290FCB"/>
    <w:rsid w:val="0029215E"/>
    <w:rsid w:val="00292906"/>
    <w:rsid w:val="00293E84"/>
    <w:rsid w:val="00294880"/>
    <w:rsid w:val="00296CB0"/>
    <w:rsid w:val="00297562"/>
    <w:rsid w:val="002A04CF"/>
    <w:rsid w:val="002A0CDE"/>
    <w:rsid w:val="002A3A94"/>
    <w:rsid w:val="002A3C48"/>
    <w:rsid w:val="002A3CD0"/>
    <w:rsid w:val="002A40F4"/>
    <w:rsid w:val="002A66F2"/>
    <w:rsid w:val="002A6999"/>
    <w:rsid w:val="002A75CD"/>
    <w:rsid w:val="002B0462"/>
    <w:rsid w:val="002B1CAD"/>
    <w:rsid w:val="002B238B"/>
    <w:rsid w:val="002B2D04"/>
    <w:rsid w:val="002B3699"/>
    <w:rsid w:val="002B3AE3"/>
    <w:rsid w:val="002B49A5"/>
    <w:rsid w:val="002B5752"/>
    <w:rsid w:val="002B5E0B"/>
    <w:rsid w:val="002B71C7"/>
    <w:rsid w:val="002C0327"/>
    <w:rsid w:val="002C0B7C"/>
    <w:rsid w:val="002C1385"/>
    <w:rsid w:val="002C1F22"/>
    <w:rsid w:val="002C2AAF"/>
    <w:rsid w:val="002C2FFB"/>
    <w:rsid w:val="002C347B"/>
    <w:rsid w:val="002C3C8D"/>
    <w:rsid w:val="002C4DCA"/>
    <w:rsid w:val="002C538D"/>
    <w:rsid w:val="002D205A"/>
    <w:rsid w:val="002D22AE"/>
    <w:rsid w:val="002D50F6"/>
    <w:rsid w:val="002E0592"/>
    <w:rsid w:val="002E3E87"/>
    <w:rsid w:val="002E408A"/>
    <w:rsid w:val="002E705B"/>
    <w:rsid w:val="002E7311"/>
    <w:rsid w:val="002F61CD"/>
    <w:rsid w:val="002F6B01"/>
    <w:rsid w:val="002F739C"/>
    <w:rsid w:val="002F78D5"/>
    <w:rsid w:val="002F7970"/>
    <w:rsid w:val="002F7E63"/>
    <w:rsid w:val="0030318F"/>
    <w:rsid w:val="00304C63"/>
    <w:rsid w:val="00310018"/>
    <w:rsid w:val="00311995"/>
    <w:rsid w:val="00312D16"/>
    <w:rsid w:val="00312FA5"/>
    <w:rsid w:val="003130AA"/>
    <w:rsid w:val="00315130"/>
    <w:rsid w:val="0031598F"/>
    <w:rsid w:val="003174BE"/>
    <w:rsid w:val="00321A0B"/>
    <w:rsid w:val="00327FCE"/>
    <w:rsid w:val="003352D6"/>
    <w:rsid w:val="00340170"/>
    <w:rsid w:val="0034310D"/>
    <w:rsid w:val="0034346F"/>
    <w:rsid w:val="003445D6"/>
    <w:rsid w:val="0035035C"/>
    <w:rsid w:val="00350692"/>
    <w:rsid w:val="00355C6D"/>
    <w:rsid w:val="003576A0"/>
    <w:rsid w:val="00357ED1"/>
    <w:rsid w:val="0036044F"/>
    <w:rsid w:val="00360EC9"/>
    <w:rsid w:val="00362FBE"/>
    <w:rsid w:val="00370FCA"/>
    <w:rsid w:val="00376681"/>
    <w:rsid w:val="0037701B"/>
    <w:rsid w:val="0038037F"/>
    <w:rsid w:val="0038106D"/>
    <w:rsid w:val="003812D8"/>
    <w:rsid w:val="0038133F"/>
    <w:rsid w:val="0038161B"/>
    <w:rsid w:val="0038647F"/>
    <w:rsid w:val="00395C79"/>
    <w:rsid w:val="00396B6A"/>
    <w:rsid w:val="003A0695"/>
    <w:rsid w:val="003A2090"/>
    <w:rsid w:val="003A293B"/>
    <w:rsid w:val="003A64E8"/>
    <w:rsid w:val="003A705E"/>
    <w:rsid w:val="003B14E2"/>
    <w:rsid w:val="003B430F"/>
    <w:rsid w:val="003B52A6"/>
    <w:rsid w:val="003D22A0"/>
    <w:rsid w:val="003D4581"/>
    <w:rsid w:val="003D4FD0"/>
    <w:rsid w:val="003E26C9"/>
    <w:rsid w:val="003E5563"/>
    <w:rsid w:val="003E5ED0"/>
    <w:rsid w:val="003E6A15"/>
    <w:rsid w:val="003F0BD8"/>
    <w:rsid w:val="003F1433"/>
    <w:rsid w:val="003F2FED"/>
    <w:rsid w:val="003F4621"/>
    <w:rsid w:val="003F64DD"/>
    <w:rsid w:val="003F762E"/>
    <w:rsid w:val="003F77FF"/>
    <w:rsid w:val="00401005"/>
    <w:rsid w:val="0040183E"/>
    <w:rsid w:val="00403E85"/>
    <w:rsid w:val="00405315"/>
    <w:rsid w:val="004056EC"/>
    <w:rsid w:val="004077AD"/>
    <w:rsid w:val="00410AC9"/>
    <w:rsid w:val="0041635A"/>
    <w:rsid w:val="00420158"/>
    <w:rsid w:val="00421C5A"/>
    <w:rsid w:val="0042440E"/>
    <w:rsid w:val="00424E85"/>
    <w:rsid w:val="0042607D"/>
    <w:rsid w:val="0042678C"/>
    <w:rsid w:val="004279F0"/>
    <w:rsid w:val="004354B8"/>
    <w:rsid w:val="00436978"/>
    <w:rsid w:val="0044095A"/>
    <w:rsid w:val="00441F52"/>
    <w:rsid w:val="00442C28"/>
    <w:rsid w:val="00444BD7"/>
    <w:rsid w:val="004464B7"/>
    <w:rsid w:val="0045015B"/>
    <w:rsid w:val="004505CD"/>
    <w:rsid w:val="0045080F"/>
    <w:rsid w:val="00454339"/>
    <w:rsid w:val="00455C08"/>
    <w:rsid w:val="004613AF"/>
    <w:rsid w:val="00462FC1"/>
    <w:rsid w:val="00464213"/>
    <w:rsid w:val="00464A70"/>
    <w:rsid w:val="00464CB4"/>
    <w:rsid w:val="004651AF"/>
    <w:rsid w:val="00471B84"/>
    <w:rsid w:val="00473F77"/>
    <w:rsid w:val="0047489A"/>
    <w:rsid w:val="00477082"/>
    <w:rsid w:val="0047733A"/>
    <w:rsid w:val="0048013D"/>
    <w:rsid w:val="00482615"/>
    <w:rsid w:val="004835F6"/>
    <w:rsid w:val="004864C9"/>
    <w:rsid w:val="00486C5C"/>
    <w:rsid w:val="004877D3"/>
    <w:rsid w:val="004922DE"/>
    <w:rsid w:val="0049535B"/>
    <w:rsid w:val="004A2B27"/>
    <w:rsid w:val="004A563D"/>
    <w:rsid w:val="004A6E8F"/>
    <w:rsid w:val="004A6FDC"/>
    <w:rsid w:val="004B096A"/>
    <w:rsid w:val="004B2F5B"/>
    <w:rsid w:val="004B7608"/>
    <w:rsid w:val="004C1983"/>
    <w:rsid w:val="004C1F0D"/>
    <w:rsid w:val="004C3BF5"/>
    <w:rsid w:val="004C566D"/>
    <w:rsid w:val="004C5F8D"/>
    <w:rsid w:val="004C790B"/>
    <w:rsid w:val="004D0EAB"/>
    <w:rsid w:val="004D6EE6"/>
    <w:rsid w:val="004E1FF1"/>
    <w:rsid w:val="004E614B"/>
    <w:rsid w:val="00500B59"/>
    <w:rsid w:val="005040AE"/>
    <w:rsid w:val="00504185"/>
    <w:rsid w:val="005049B1"/>
    <w:rsid w:val="00514188"/>
    <w:rsid w:val="00515533"/>
    <w:rsid w:val="00515B56"/>
    <w:rsid w:val="0051643D"/>
    <w:rsid w:val="005173A5"/>
    <w:rsid w:val="00517EAA"/>
    <w:rsid w:val="0052293B"/>
    <w:rsid w:val="00523F75"/>
    <w:rsid w:val="00525423"/>
    <w:rsid w:val="00525918"/>
    <w:rsid w:val="00526AD3"/>
    <w:rsid w:val="005305A6"/>
    <w:rsid w:val="00530C01"/>
    <w:rsid w:val="00532682"/>
    <w:rsid w:val="005332CC"/>
    <w:rsid w:val="00533E70"/>
    <w:rsid w:val="005341E3"/>
    <w:rsid w:val="005367C7"/>
    <w:rsid w:val="005402FC"/>
    <w:rsid w:val="0054140C"/>
    <w:rsid w:val="005417ED"/>
    <w:rsid w:val="005424CF"/>
    <w:rsid w:val="00542AA6"/>
    <w:rsid w:val="00542F35"/>
    <w:rsid w:val="005445C0"/>
    <w:rsid w:val="00550CFE"/>
    <w:rsid w:val="00552064"/>
    <w:rsid w:val="00553FDA"/>
    <w:rsid w:val="00555F92"/>
    <w:rsid w:val="00556102"/>
    <w:rsid w:val="00557765"/>
    <w:rsid w:val="00562BA6"/>
    <w:rsid w:val="00565AE5"/>
    <w:rsid w:val="0056743A"/>
    <w:rsid w:val="00573344"/>
    <w:rsid w:val="00583DCE"/>
    <w:rsid w:val="005867CE"/>
    <w:rsid w:val="005948CA"/>
    <w:rsid w:val="005A00EC"/>
    <w:rsid w:val="005A1341"/>
    <w:rsid w:val="005A2132"/>
    <w:rsid w:val="005A55F6"/>
    <w:rsid w:val="005A564F"/>
    <w:rsid w:val="005A76C6"/>
    <w:rsid w:val="005B2081"/>
    <w:rsid w:val="005B26BE"/>
    <w:rsid w:val="005B2C71"/>
    <w:rsid w:val="005B50B2"/>
    <w:rsid w:val="005B5ED5"/>
    <w:rsid w:val="005C0055"/>
    <w:rsid w:val="005C1D4C"/>
    <w:rsid w:val="005C22A1"/>
    <w:rsid w:val="005C3A48"/>
    <w:rsid w:val="005C3AB9"/>
    <w:rsid w:val="005C3E27"/>
    <w:rsid w:val="005C667C"/>
    <w:rsid w:val="005C6AA6"/>
    <w:rsid w:val="005C720D"/>
    <w:rsid w:val="005C755F"/>
    <w:rsid w:val="005D37D8"/>
    <w:rsid w:val="005D49BA"/>
    <w:rsid w:val="005E5FA0"/>
    <w:rsid w:val="005F21C1"/>
    <w:rsid w:val="005F24E9"/>
    <w:rsid w:val="005F5149"/>
    <w:rsid w:val="00600F91"/>
    <w:rsid w:val="006014FA"/>
    <w:rsid w:val="00601AC1"/>
    <w:rsid w:val="006057E8"/>
    <w:rsid w:val="006072F1"/>
    <w:rsid w:val="00610D41"/>
    <w:rsid w:val="006258BA"/>
    <w:rsid w:val="0062684F"/>
    <w:rsid w:val="00626D6F"/>
    <w:rsid w:val="006306EA"/>
    <w:rsid w:val="0063400F"/>
    <w:rsid w:val="00634A34"/>
    <w:rsid w:val="00635342"/>
    <w:rsid w:val="0063543D"/>
    <w:rsid w:val="00635493"/>
    <w:rsid w:val="006437A3"/>
    <w:rsid w:val="00645EFA"/>
    <w:rsid w:val="00650414"/>
    <w:rsid w:val="00651E0D"/>
    <w:rsid w:val="00652BE1"/>
    <w:rsid w:val="00652EFA"/>
    <w:rsid w:val="0065302F"/>
    <w:rsid w:val="006555C1"/>
    <w:rsid w:val="00655B3B"/>
    <w:rsid w:val="0065775D"/>
    <w:rsid w:val="00661295"/>
    <w:rsid w:val="00661AE2"/>
    <w:rsid w:val="00662B5D"/>
    <w:rsid w:val="00662EDC"/>
    <w:rsid w:val="00663232"/>
    <w:rsid w:val="00663A2E"/>
    <w:rsid w:val="00664268"/>
    <w:rsid w:val="00664815"/>
    <w:rsid w:val="00665B5C"/>
    <w:rsid w:val="00665C9D"/>
    <w:rsid w:val="00665EF2"/>
    <w:rsid w:val="00680743"/>
    <w:rsid w:val="00680EAA"/>
    <w:rsid w:val="006875D4"/>
    <w:rsid w:val="00693788"/>
    <w:rsid w:val="00696727"/>
    <w:rsid w:val="006A2263"/>
    <w:rsid w:val="006A2BC4"/>
    <w:rsid w:val="006A4150"/>
    <w:rsid w:val="006A48B0"/>
    <w:rsid w:val="006A5F21"/>
    <w:rsid w:val="006A7AB7"/>
    <w:rsid w:val="006B01B9"/>
    <w:rsid w:val="006B1406"/>
    <w:rsid w:val="006B2435"/>
    <w:rsid w:val="006B482C"/>
    <w:rsid w:val="006B54CA"/>
    <w:rsid w:val="006B7A17"/>
    <w:rsid w:val="006C02A8"/>
    <w:rsid w:val="006C0A98"/>
    <w:rsid w:val="006C1F25"/>
    <w:rsid w:val="006C4A25"/>
    <w:rsid w:val="006C727F"/>
    <w:rsid w:val="006D2D74"/>
    <w:rsid w:val="006D576F"/>
    <w:rsid w:val="006D5DFA"/>
    <w:rsid w:val="006D7951"/>
    <w:rsid w:val="006E05D1"/>
    <w:rsid w:val="006E068D"/>
    <w:rsid w:val="006E0B28"/>
    <w:rsid w:val="006E0D4C"/>
    <w:rsid w:val="006E383E"/>
    <w:rsid w:val="006E3F0A"/>
    <w:rsid w:val="006E6135"/>
    <w:rsid w:val="006F058A"/>
    <w:rsid w:val="006F09BB"/>
    <w:rsid w:val="006F2E6C"/>
    <w:rsid w:val="006F590A"/>
    <w:rsid w:val="006F59A7"/>
    <w:rsid w:val="006F62A4"/>
    <w:rsid w:val="006F7FA2"/>
    <w:rsid w:val="00700935"/>
    <w:rsid w:val="00700DE7"/>
    <w:rsid w:val="00703C1A"/>
    <w:rsid w:val="007047A2"/>
    <w:rsid w:val="00706311"/>
    <w:rsid w:val="00706C06"/>
    <w:rsid w:val="007101B5"/>
    <w:rsid w:val="0071411A"/>
    <w:rsid w:val="00716A0B"/>
    <w:rsid w:val="00716F0A"/>
    <w:rsid w:val="00723957"/>
    <w:rsid w:val="0072441D"/>
    <w:rsid w:val="00725D5C"/>
    <w:rsid w:val="007265E7"/>
    <w:rsid w:val="007266F9"/>
    <w:rsid w:val="00731702"/>
    <w:rsid w:val="00744B2F"/>
    <w:rsid w:val="007502D3"/>
    <w:rsid w:val="0075558C"/>
    <w:rsid w:val="00755F25"/>
    <w:rsid w:val="00756B70"/>
    <w:rsid w:val="0076061B"/>
    <w:rsid w:val="0076108D"/>
    <w:rsid w:val="00762D2D"/>
    <w:rsid w:val="00774AEA"/>
    <w:rsid w:val="007764B1"/>
    <w:rsid w:val="00780F9C"/>
    <w:rsid w:val="00781183"/>
    <w:rsid w:val="00782EBD"/>
    <w:rsid w:val="00783989"/>
    <w:rsid w:val="007879DB"/>
    <w:rsid w:val="00790D4C"/>
    <w:rsid w:val="00791928"/>
    <w:rsid w:val="00795EF5"/>
    <w:rsid w:val="007A2B4C"/>
    <w:rsid w:val="007A68A5"/>
    <w:rsid w:val="007B1526"/>
    <w:rsid w:val="007B57ED"/>
    <w:rsid w:val="007B6013"/>
    <w:rsid w:val="007B6BDC"/>
    <w:rsid w:val="007C27B4"/>
    <w:rsid w:val="007C37CB"/>
    <w:rsid w:val="007C5F9B"/>
    <w:rsid w:val="007D24B0"/>
    <w:rsid w:val="007D34EC"/>
    <w:rsid w:val="007D587B"/>
    <w:rsid w:val="007E20F1"/>
    <w:rsid w:val="007E4B2D"/>
    <w:rsid w:val="007E66C6"/>
    <w:rsid w:val="007F4DD9"/>
    <w:rsid w:val="007F5AAD"/>
    <w:rsid w:val="00803A1B"/>
    <w:rsid w:val="00807D6B"/>
    <w:rsid w:val="0081039E"/>
    <w:rsid w:val="0081373C"/>
    <w:rsid w:val="00815FE8"/>
    <w:rsid w:val="008171ED"/>
    <w:rsid w:val="00817AD9"/>
    <w:rsid w:val="008205CB"/>
    <w:rsid w:val="00820E7B"/>
    <w:rsid w:val="008218B4"/>
    <w:rsid w:val="00822535"/>
    <w:rsid w:val="00822FE2"/>
    <w:rsid w:val="00825293"/>
    <w:rsid w:val="00825A12"/>
    <w:rsid w:val="00825ADE"/>
    <w:rsid w:val="0082665D"/>
    <w:rsid w:val="0083057F"/>
    <w:rsid w:val="00833EE1"/>
    <w:rsid w:val="0083597E"/>
    <w:rsid w:val="008378AC"/>
    <w:rsid w:val="00841270"/>
    <w:rsid w:val="00842063"/>
    <w:rsid w:val="00845703"/>
    <w:rsid w:val="00854139"/>
    <w:rsid w:val="0086258E"/>
    <w:rsid w:val="00862F76"/>
    <w:rsid w:val="008658F3"/>
    <w:rsid w:val="00866E25"/>
    <w:rsid w:val="0087105D"/>
    <w:rsid w:val="00873AD5"/>
    <w:rsid w:val="008812A1"/>
    <w:rsid w:val="00883ABE"/>
    <w:rsid w:val="00883C95"/>
    <w:rsid w:val="008A1DA7"/>
    <w:rsid w:val="008A5255"/>
    <w:rsid w:val="008B3873"/>
    <w:rsid w:val="008B3980"/>
    <w:rsid w:val="008B4CAC"/>
    <w:rsid w:val="008B5F44"/>
    <w:rsid w:val="008B6438"/>
    <w:rsid w:val="008B7262"/>
    <w:rsid w:val="008C6C5B"/>
    <w:rsid w:val="008D3DB6"/>
    <w:rsid w:val="008D5FF1"/>
    <w:rsid w:val="008E1293"/>
    <w:rsid w:val="008E16C7"/>
    <w:rsid w:val="008E27BB"/>
    <w:rsid w:val="008F0960"/>
    <w:rsid w:val="008F59BF"/>
    <w:rsid w:val="0090203F"/>
    <w:rsid w:val="00903BF9"/>
    <w:rsid w:val="00904664"/>
    <w:rsid w:val="009046E5"/>
    <w:rsid w:val="0090614E"/>
    <w:rsid w:val="00906F95"/>
    <w:rsid w:val="009106CA"/>
    <w:rsid w:val="00914076"/>
    <w:rsid w:val="00915DA3"/>
    <w:rsid w:val="009166CE"/>
    <w:rsid w:val="00916AED"/>
    <w:rsid w:val="009200A8"/>
    <w:rsid w:val="00920D23"/>
    <w:rsid w:val="00923214"/>
    <w:rsid w:val="00923EB6"/>
    <w:rsid w:val="00932A26"/>
    <w:rsid w:val="00934B42"/>
    <w:rsid w:val="0093530D"/>
    <w:rsid w:val="00941896"/>
    <w:rsid w:val="00943388"/>
    <w:rsid w:val="009446D2"/>
    <w:rsid w:val="0095139E"/>
    <w:rsid w:val="0095429D"/>
    <w:rsid w:val="009545BC"/>
    <w:rsid w:val="00955407"/>
    <w:rsid w:val="00963343"/>
    <w:rsid w:val="0097147B"/>
    <w:rsid w:val="00975D5C"/>
    <w:rsid w:val="0097600C"/>
    <w:rsid w:val="00985629"/>
    <w:rsid w:val="00985D67"/>
    <w:rsid w:val="00991D17"/>
    <w:rsid w:val="00993600"/>
    <w:rsid w:val="009A074D"/>
    <w:rsid w:val="009A2911"/>
    <w:rsid w:val="009A2D9B"/>
    <w:rsid w:val="009A34D9"/>
    <w:rsid w:val="009A3811"/>
    <w:rsid w:val="009A5B90"/>
    <w:rsid w:val="009A6927"/>
    <w:rsid w:val="009A695F"/>
    <w:rsid w:val="009B1CFF"/>
    <w:rsid w:val="009C1F80"/>
    <w:rsid w:val="009C3292"/>
    <w:rsid w:val="009C3C44"/>
    <w:rsid w:val="009C53A9"/>
    <w:rsid w:val="009D36F4"/>
    <w:rsid w:val="009D3A9F"/>
    <w:rsid w:val="009E4E75"/>
    <w:rsid w:val="009F3ADA"/>
    <w:rsid w:val="009F426C"/>
    <w:rsid w:val="009F4D27"/>
    <w:rsid w:val="009F5352"/>
    <w:rsid w:val="009F5CFF"/>
    <w:rsid w:val="009F5EC8"/>
    <w:rsid w:val="00A00FEF"/>
    <w:rsid w:val="00A01392"/>
    <w:rsid w:val="00A02D24"/>
    <w:rsid w:val="00A03EDB"/>
    <w:rsid w:val="00A04395"/>
    <w:rsid w:val="00A04A9E"/>
    <w:rsid w:val="00A061B1"/>
    <w:rsid w:val="00A06E57"/>
    <w:rsid w:val="00A22547"/>
    <w:rsid w:val="00A23463"/>
    <w:rsid w:val="00A234D1"/>
    <w:rsid w:val="00A238AF"/>
    <w:rsid w:val="00A25310"/>
    <w:rsid w:val="00A27A5B"/>
    <w:rsid w:val="00A301BE"/>
    <w:rsid w:val="00A31008"/>
    <w:rsid w:val="00A314BD"/>
    <w:rsid w:val="00A3176A"/>
    <w:rsid w:val="00A32223"/>
    <w:rsid w:val="00A349C3"/>
    <w:rsid w:val="00A36371"/>
    <w:rsid w:val="00A409F1"/>
    <w:rsid w:val="00A41046"/>
    <w:rsid w:val="00A41062"/>
    <w:rsid w:val="00A428EF"/>
    <w:rsid w:val="00A43D16"/>
    <w:rsid w:val="00A445ED"/>
    <w:rsid w:val="00A464C3"/>
    <w:rsid w:val="00A477D3"/>
    <w:rsid w:val="00A54EBD"/>
    <w:rsid w:val="00A552A7"/>
    <w:rsid w:val="00A569DE"/>
    <w:rsid w:val="00A657C5"/>
    <w:rsid w:val="00A72F05"/>
    <w:rsid w:val="00A734CA"/>
    <w:rsid w:val="00A80842"/>
    <w:rsid w:val="00A811CF"/>
    <w:rsid w:val="00A83105"/>
    <w:rsid w:val="00A86BFD"/>
    <w:rsid w:val="00A95EFA"/>
    <w:rsid w:val="00AA4D42"/>
    <w:rsid w:val="00AB7048"/>
    <w:rsid w:val="00AB7CF3"/>
    <w:rsid w:val="00AC58F4"/>
    <w:rsid w:val="00AC7FE6"/>
    <w:rsid w:val="00AD1825"/>
    <w:rsid w:val="00AD2796"/>
    <w:rsid w:val="00AD27B1"/>
    <w:rsid w:val="00AE3212"/>
    <w:rsid w:val="00AE3AE4"/>
    <w:rsid w:val="00AF0FF6"/>
    <w:rsid w:val="00AF119B"/>
    <w:rsid w:val="00AF24B6"/>
    <w:rsid w:val="00AF2F8C"/>
    <w:rsid w:val="00AF7687"/>
    <w:rsid w:val="00B032B5"/>
    <w:rsid w:val="00B03EE5"/>
    <w:rsid w:val="00B04F8D"/>
    <w:rsid w:val="00B07029"/>
    <w:rsid w:val="00B10899"/>
    <w:rsid w:val="00B1337E"/>
    <w:rsid w:val="00B21562"/>
    <w:rsid w:val="00B21FF6"/>
    <w:rsid w:val="00B2385D"/>
    <w:rsid w:val="00B2638F"/>
    <w:rsid w:val="00B2712B"/>
    <w:rsid w:val="00B305B0"/>
    <w:rsid w:val="00B31A8D"/>
    <w:rsid w:val="00B31DF5"/>
    <w:rsid w:val="00B3251E"/>
    <w:rsid w:val="00B334A1"/>
    <w:rsid w:val="00B3421F"/>
    <w:rsid w:val="00B45452"/>
    <w:rsid w:val="00B46509"/>
    <w:rsid w:val="00B46E02"/>
    <w:rsid w:val="00B46F8B"/>
    <w:rsid w:val="00B50011"/>
    <w:rsid w:val="00B51C7D"/>
    <w:rsid w:val="00B52D59"/>
    <w:rsid w:val="00B554E7"/>
    <w:rsid w:val="00B616C1"/>
    <w:rsid w:val="00B648D3"/>
    <w:rsid w:val="00B70E1A"/>
    <w:rsid w:val="00B70F24"/>
    <w:rsid w:val="00B766F7"/>
    <w:rsid w:val="00B83ED4"/>
    <w:rsid w:val="00B877A8"/>
    <w:rsid w:val="00B878A2"/>
    <w:rsid w:val="00B93EB8"/>
    <w:rsid w:val="00B95BE7"/>
    <w:rsid w:val="00B97539"/>
    <w:rsid w:val="00BA09E6"/>
    <w:rsid w:val="00BA1491"/>
    <w:rsid w:val="00BA6329"/>
    <w:rsid w:val="00BB1C88"/>
    <w:rsid w:val="00BB1FF9"/>
    <w:rsid w:val="00BB46BE"/>
    <w:rsid w:val="00BB5226"/>
    <w:rsid w:val="00BB5C35"/>
    <w:rsid w:val="00BC23CB"/>
    <w:rsid w:val="00BC5E41"/>
    <w:rsid w:val="00BD038F"/>
    <w:rsid w:val="00BD1E11"/>
    <w:rsid w:val="00BD3A40"/>
    <w:rsid w:val="00BD5B1A"/>
    <w:rsid w:val="00BD5E2F"/>
    <w:rsid w:val="00BE02E8"/>
    <w:rsid w:val="00BE0C9B"/>
    <w:rsid w:val="00BE1A3D"/>
    <w:rsid w:val="00BE1B67"/>
    <w:rsid w:val="00BE33F9"/>
    <w:rsid w:val="00BE34D3"/>
    <w:rsid w:val="00BE4E99"/>
    <w:rsid w:val="00BF1829"/>
    <w:rsid w:val="00BF27DE"/>
    <w:rsid w:val="00BF503E"/>
    <w:rsid w:val="00C0197D"/>
    <w:rsid w:val="00C03EFA"/>
    <w:rsid w:val="00C07D23"/>
    <w:rsid w:val="00C126CF"/>
    <w:rsid w:val="00C139A7"/>
    <w:rsid w:val="00C14591"/>
    <w:rsid w:val="00C158FE"/>
    <w:rsid w:val="00C21AE7"/>
    <w:rsid w:val="00C22C7E"/>
    <w:rsid w:val="00C23379"/>
    <w:rsid w:val="00C272DF"/>
    <w:rsid w:val="00C3048D"/>
    <w:rsid w:val="00C33CE4"/>
    <w:rsid w:val="00C35B2F"/>
    <w:rsid w:val="00C41CF7"/>
    <w:rsid w:val="00C4231D"/>
    <w:rsid w:val="00C42E55"/>
    <w:rsid w:val="00C435EA"/>
    <w:rsid w:val="00C47C4D"/>
    <w:rsid w:val="00C50CC4"/>
    <w:rsid w:val="00C60ECF"/>
    <w:rsid w:val="00C6151B"/>
    <w:rsid w:val="00C66113"/>
    <w:rsid w:val="00C71CD4"/>
    <w:rsid w:val="00C73250"/>
    <w:rsid w:val="00C73D1C"/>
    <w:rsid w:val="00C74299"/>
    <w:rsid w:val="00C7435C"/>
    <w:rsid w:val="00C80555"/>
    <w:rsid w:val="00C819B6"/>
    <w:rsid w:val="00C84366"/>
    <w:rsid w:val="00C85435"/>
    <w:rsid w:val="00C8739B"/>
    <w:rsid w:val="00C939E8"/>
    <w:rsid w:val="00C94BBE"/>
    <w:rsid w:val="00C95244"/>
    <w:rsid w:val="00CA5AC2"/>
    <w:rsid w:val="00CA5D4A"/>
    <w:rsid w:val="00CA7922"/>
    <w:rsid w:val="00CB13E7"/>
    <w:rsid w:val="00CB268E"/>
    <w:rsid w:val="00CC0DB1"/>
    <w:rsid w:val="00CC1287"/>
    <w:rsid w:val="00CC2297"/>
    <w:rsid w:val="00CC366B"/>
    <w:rsid w:val="00CC3C2E"/>
    <w:rsid w:val="00CC69A3"/>
    <w:rsid w:val="00CC6EC4"/>
    <w:rsid w:val="00CC7C0B"/>
    <w:rsid w:val="00CD341D"/>
    <w:rsid w:val="00CD45C9"/>
    <w:rsid w:val="00CD650B"/>
    <w:rsid w:val="00CD764F"/>
    <w:rsid w:val="00CE15F5"/>
    <w:rsid w:val="00CE1D84"/>
    <w:rsid w:val="00CE2B75"/>
    <w:rsid w:val="00CE2E5C"/>
    <w:rsid w:val="00CE3ECD"/>
    <w:rsid w:val="00CE4F3A"/>
    <w:rsid w:val="00CF01C9"/>
    <w:rsid w:val="00CF0B85"/>
    <w:rsid w:val="00CF3DFF"/>
    <w:rsid w:val="00CF5FB7"/>
    <w:rsid w:val="00CF76C8"/>
    <w:rsid w:val="00CF76F5"/>
    <w:rsid w:val="00D02D47"/>
    <w:rsid w:val="00D03744"/>
    <w:rsid w:val="00D042C8"/>
    <w:rsid w:val="00D0532F"/>
    <w:rsid w:val="00D069E0"/>
    <w:rsid w:val="00D10984"/>
    <w:rsid w:val="00D15EA2"/>
    <w:rsid w:val="00D20A2E"/>
    <w:rsid w:val="00D210DB"/>
    <w:rsid w:val="00D22639"/>
    <w:rsid w:val="00D23088"/>
    <w:rsid w:val="00D27AFC"/>
    <w:rsid w:val="00D31E61"/>
    <w:rsid w:val="00D33118"/>
    <w:rsid w:val="00D3376D"/>
    <w:rsid w:val="00D35215"/>
    <w:rsid w:val="00D35ABC"/>
    <w:rsid w:val="00D41671"/>
    <w:rsid w:val="00D42919"/>
    <w:rsid w:val="00D46F2E"/>
    <w:rsid w:val="00D506B4"/>
    <w:rsid w:val="00D51410"/>
    <w:rsid w:val="00D51A35"/>
    <w:rsid w:val="00D60445"/>
    <w:rsid w:val="00D61018"/>
    <w:rsid w:val="00D64044"/>
    <w:rsid w:val="00D666C4"/>
    <w:rsid w:val="00D66F31"/>
    <w:rsid w:val="00D725EF"/>
    <w:rsid w:val="00D75F0B"/>
    <w:rsid w:val="00D7635D"/>
    <w:rsid w:val="00D769BA"/>
    <w:rsid w:val="00D77857"/>
    <w:rsid w:val="00D80BB9"/>
    <w:rsid w:val="00D81294"/>
    <w:rsid w:val="00D821C5"/>
    <w:rsid w:val="00D831AA"/>
    <w:rsid w:val="00D839BC"/>
    <w:rsid w:val="00D9034D"/>
    <w:rsid w:val="00D93AAA"/>
    <w:rsid w:val="00D93F85"/>
    <w:rsid w:val="00D952C4"/>
    <w:rsid w:val="00D95F1A"/>
    <w:rsid w:val="00DA2EE7"/>
    <w:rsid w:val="00DA2EFD"/>
    <w:rsid w:val="00DA32AB"/>
    <w:rsid w:val="00DA3EA4"/>
    <w:rsid w:val="00DA40AD"/>
    <w:rsid w:val="00DA4BB0"/>
    <w:rsid w:val="00DA540A"/>
    <w:rsid w:val="00DB4E25"/>
    <w:rsid w:val="00DB5B91"/>
    <w:rsid w:val="00DB63B5"/>
    <w:rsid w:val="00DB67BF"/>
    <w:rsid w:val="00DC1892"/>
    <w:rsid w:val="00DC2A54"/>
    <w:rsid w:val="00DC6F61"/>
    <w:rsid w:val="00DD2956"/>
    <w:rsid w:val="00DD57E3"/>
    <w:rsid w:val="00DD7F4C"/>
    <w:rsid w:val="00DE15DF"/>
    <w:rsid w:val="00DE4097"/>
    <w:rsid w:val="00DE4977"/>
    <w:rsid w:val="00DE64DA"/>
    <w:rsid w:val="00DF05DE"/>
    <w:rsid w:val="00DF7851"/>
    <w:rsid w:val="00DF7E26"/>
    <w:rsid w:val="00E02666"/>
    <w:rsid w:val="00E028D2"/>
    <w:rsid w:val="00E06F7A"/>
    <w:rsid w:val="00E10085"/>
    <w:rsid w:val="00E169C8"/>
    <w:rsid w:val="00E17BAB"/>
    <w:rsid w:val="00E20535"/>
    <w:rsid w:val="00E2065C"/>
    <w:rsid w:val="00E21DC9"/>
    <w:rsid w:val="00E242CB"/>
    <w:rsid w:val="00E24F22"/>
    <w:rsid w:val="00E26471"/>
    <w:rsid w:val="00E310B4"/>
    <w:rsid w:val="00E400EF"/>
    <w:rsid w:val="00E40359"/>
    <w:rsid w:val="00E405D8"/>
    <w:rsid w:val="00E45300"/>
    <w:rsid w:val="00E46668"/>
    <w:rsid w:val="00E53AFF"/>
    <w:rsid w:val="00E545C5"/>
    <w:rsid w:val="00E54BC8"/>
    <w:rsid w:val="00E553CB"/>
    <w:rsid w:val="00E554DF"/>
    <w:rsid w:val="00E61AD4"/>
    <w:rsid w:val="00E61F0F"/>
    <w:rsid w:val="00E62C7C"/>
    <w:rsid w:val="00E6558E"/>
    <w:rsid w:val="00E660E4"/>
    <w:rsid w:val="00E665E1"/>
    <w:rsid w:val="00E67839"/>
    <w:rsid w:val="00E67BA8"/>
    <w:rsid w:val="00E67F49"/>
    <w:rsid w:val="00E71E67"/>
    <w:rsid w:val="00E80BA4"/>
    <w:rsid w:val="00E80C23"/>
    <w:rsid w:val="00E814D5"/>
    <w:rsid w:val="00E838FC"/>
    <w:rsid w:val="00E84926"/>
    <w:rsid w:val="00E84BB8"/>
    <w:rsid w:val="00E8564E"/>
    <w:rsid w:val="00E85E15"/>
    <w:rsid w:val="00E86735"/>
    <w:rsid w:val="00E86F2F"/>
    <w:rsid w:val="00E875E9"/>
    <w:rsid w:val="00E9451C"/>
    <w:rsid w:val="00E94723"/>
    <w:rsid w:val="00E949F9"/>
    <w:rsid w:val="00E95273"/>
    <w:rsid w:val="00E96C6F"/>
    <w:rsid w:val="00E972F3"/>
    <w:rsid w:val="00E97329"/>
    <w:rsid w:val="00EA75B7"/>
    <w:rsid w:val="00EA7FF5"/>
    <w:rsid w:val="00EB09AE"/>
    <w:rsid w:val="00EB0B1D"/>
    <w:rsid w:val="00EB0CC9"/>
    <w:rsid w:val="00EB2F61"/>
    <w:rsid w:val="00EB54FD"/>
    <w:rsid w:val="00EB5C70"/>
    <w:rsid w:val="00EC0AE0"/>
    <w:rsid w:val="00EC505D"/>
    <w:rsid w:val="00EC5AB8"/>
    <w:rsid w:val="00EC5C4B"/>
    <w:rsid w:val="00EC7086"/>
    <w:rsid w:val="00ED0344"/>
    <w:rsid w:val="00ED3A84"/>
    <w:rsid w:val="00ED3DF5"/>
    <w:rsid w:val="00ED5393"/>
    <w:rsid w:val="00ED79A2"/>
    <w:rsid w:val="00EE02EE"/>
    <w:rsid w:val="00EE0FE2"/>
    <w:rsid w:val="00EE1009"/>
    <w:rsid w:val="00EE18F6"/>
    <w:rsid w:val="00EE1C35"/>
    <w:rsid w:val="00EE4600"/>
    <w:rsid w:val="00EE5E45"/>
    <w:rsid w:val="00EF113E"/>
    <w:rsid w:val="00EF16FB"/>
    <w:rsid w:val="00EF4EFF"/>
    <w:rsid w:val="00F00392"/>
    <w:rsid w:val="00F01F77"/>
    <w:rsid w:val="00F02563"/>
    <w:rsid w:val="00F0465F"/>
    <w:rsid w:val="00F04BD8"/>
    <w:rsid w:val="00F07889"/>
    <w:rsid w:val="00F07FB3"/>
    <w:rsid w:val="00F11625"/>
    <w:rsid w:val="00F11BC7"/>
    <w:rsid w:val="00F13BAC"/>
    <w:rsid w:val="00F1512E"/>
    <w:rsid w:val="00F177CC"/>
    <w:rsid w:val="00F20BCD"/>
    <w:rsid w:val="00F23839"/>
    <w:rsid w:val="00F23D45"/>
    <w:rsid w:val="00F24C7F"/>
    <w:rsid w:val="00F252BF"/>
    <w:rsid w:val="00F26E20"/>
    <w:rsid w:val="00F40109"/>
    <w:rsid w:val="00F425D9"/>
    <w:rsid w:val="00F427F5"/>
    <w:rsid w:val="00F4480D"/>
    <w:rsid w:val="00F46265"/>
    <w:rsid w:val="00F47751"/>
    <w:rsid w:val="00F519E2"/>
    <w:rsid w:val="00F55F47"/>
    <w:rsid w:val="00F56ADF"/>
    <w:rsid w:val="00F6229D"/>
    <w:rsid w:val="00F6269A"/>
    <w:rsid w:val="00F65A52"/>
    <w:rsid w:val="00F67ADA"/>
    <w:rsid w:val="00F7100B"/>
    <w:rsid w:val="00F72D2E"/>
    <w:rsid w:val="00F7354F"/>
    <w:rsid w:val="00F7758C"/>
    <w:rsid w:val="00F8402F"/>
    <w:rsid w:val="00F850D2"/>
    <w:rsid w:val="00F8584A"/>
    <w:rsid w:val="00F9048A"/>
    <w:rsid w:val="00F9266A"/>
    <w:rsid w:val="00F955A1"/>
    <w:rsid w:val="00F97ECF"/>
    <w:rsid w:val="00FA4F45"/>
    <w:rsid w:val="00FA570D"/>
    <w:rsid w:val="00FA597E"/>
    <w:rsid w:val="00FB2F06"/>
    <w:rsid w:val="00FB3106"/>
    <w:rsid w:val="00FB4071"/>
    <w:rsid w:val="00FC1576"/>
    <w:rsid w:val="00FC30DA"/>
    <w:rsid w:val="00FC4A56"/>
    <w:rsid w:val="00FC6198"/>
    <w:rsid w:val="00FD7FB6"/>
    <w:rsid w:val="00FE3114"/>
    <w:rsid w:val="00FE3D4C"/>
    <w:rsid w:val="00FE43B4"/>
    <w:rsid w:val="00FE6F47"/>
    <w:rsid w:val="00FE7FE2"/>
    <w:rsid w:val="00FF0F93"/>
    <w:rsid w:val="00FF20C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05373"/>
  <w15:chartTrackingRefBased/>
  <w15:docId w15:val="{310904C9-C038-4707-BAAE-F54DC123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DE"/>
  </w:style>
  <w:style w:type="paragraph" w:styleId="Heading1">
    <w:name w:val="heading 1"/>
    <w:basedOn w:val="Normal"/>
    <w:next w:val="Normal"/>
    <w:link w:val="Heading1Char"/>
    <w:uiPriority w:val="9"/>
    <w:qFormat/>
    <w:rsid w:val="004010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nnex-1">
    <w:name w:val="title-annex-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annex-2">
    <w:name w:val="title-annex-2"/>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22503B"/>
  </w:style>
  <w:style w:type="paragraph" w:styleId="NormalWeb">
    <w:name w:val="Normal (Web)"/>
    <w:basedOn w:val="Normal"/>
    <w:uiPriority w:val="99"/>
    <w:semiHidden/>
    <w:unhideWhenUsed/>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hd-column">
    <w:name w:val="hd-column"/>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ormal1">
    <w:name w:val="Normal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left">
    <w:name w:val="tbl-left"/>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sonormal0">
    <w:name w:val="msonormal"/>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right">
    <w:name w:val="tbl-right"/>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gr-seq-level-1">
    <w:name w:val="title-gr-seq-level-1"/>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oc-item">
    <w:name w:val="toc-item"/>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gr-seq-level-2">
    <w:name w:val="title-gr-seq-level-2"/>
    <w:basedOn w:val="Normal"/>
    <w:rsid w:val="0022503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DC6F61"/>
    <w:pPr>
      <w:tabs>
        <w:tab w:val="center" w:pos="4677"/>
        <w:tab w:val="right" w:pos="9355"/>
      </w:tabs>
      <w:spacing w:after="0" w:line="240" w:lineRule="auto"/>
    </w:pPr>
  </w:style>
  <w:style w:type="character" w:customStyle="1" w:styleId="HeaderChar">
    <w:name w:val="Header Char"/>
    <w:basedOn w:val="DefaultParagraphFont"/>
    <w:link w:val="Header"/>
    <w:uiPriority w:val="99"/>
    <w:rsid w:val="00DC6F61"/>
  </w:style>
  <w:style w:type="paragraph" w:styleId="Footer">
    <w:name w:val="footer"/>
    <w:basedOn w:val="Normal"/>
    <w:link w:val="FooterChar"/>
    <w:uiPriority w:val="99"/>
    <w:unhideWhenUsed/>
    <w:rsid w:val="00DC6F61"/>
    <w:pPr>
      <w:tabs>
        <w:tab w:val="center" w:pos="4677"/>
        <w:tab w:val="right" w:pos="9355"/>
      </w:tabs>
      <w:spacing w:after="0" w:line="240" w:lineRule="auto"/>
    </w:pPr>
  </w:style>
  <w:style w:type="character" w:customStyle="1" w:styleId="FooterChar">
    <w:name w:val="Footer Char"/>
    <w:basedOn w:val="DefaultParagraphFont"/>
    <w:link w:val="Footer"/>
    <w:uiPriority w:val="99"/>
    <w:rsid w:val="00DC6F61"/>
  </w:style>
  <w:style w:type="character" w:styleId="CommentReference">
    <w:name w:val="annotation reference"/>
    <w:basedOn w:val="DefaultParagraphFont"/>
    <w:uiPriority w:val="99"/>
    <w:semiHidden/>
    <w:unhideWhenUsed/>
    <w:rsid w:val="00515533"/>
    <w:rPr>
      <w:sz w:val="16"/>
      <w:szCs w:val="16"/>
    </w:rPr>
  </w:style>
  <w:style w:type="paragraph" w:styleId="CommentText">
    <w:name w:val="annotation text"/>
    <w:basedOn w:val="Normal"/>
    <w:link w:val="CommentTextChar"/>
    <w:uiPriority w:val="99"/>
    <w:unhideWhenUsed/>
    <w:rsid w:val="00515533"/>
    <w:pPr>
      <w:spacing w:line="240" w:lineRule="auto"/>
    </w:pPr>
    <w:rPr>
      <w:sz w:val="20"/>
      <w:szCs w:val="20"/>
    </w:rPr>
  </w:style>
  <w:style w:type="character" w:customStyle="1" w:styleId="CommentTextChar">
    <w:name w:val="Comment Text Char"/>
    <w:basedOn w:val="DefaultParagraphFont"/>
    <w:link w:val="CommentText"/>
    <w:uiPriority w:val="99"/>
    <w:rsid w:val="00515533"/>
    <w:rPr>
      <w:sz w:val="20"/>
      <w:szCs w:val="20"/>
    </w:rPr>
  </w:style>
  <w:style w:type="paragraph" w:styleId="CommentSubject">
    <w:name w:val="annotation subject"/>
    <w:basedOn w:val="CommentText"/>
    <w:next w:val="CommentText"/>
    <w:link w:val="CommentSubjectChar"/>
    <w:uiPriority w:val="99"/>
    <w:semiHidden/>
    <w:unhideWhenUsed/>
    <w:rsid w:val="00515533"/>
    <w:rPr>
      <w:b/>
      <w:bCs/>
    </w:rPr>
  </w:style>
  <w:style w:type="character" w:customStyle="1" w:styleId="CommentSubjectChar">
    <w:name w:val="Comment Subject Char"/>
    <w:basedOn w:val="CommentTextChar"/>
    <w:link w:val="CommentSubject"/>
    <w:uiPriority w:val="99"/>
    <w:semiHidden/>
    <w:rsid w:val="00515533"/>
    <w:rPr>
      <w:b/>
      <w:bCs/>
      <w:sz w:val="20"/>
      <w:szCs w:val="20"/>
    </w:rPr>
  </w:style>
  <w:style w:type="paragraph" w:styleId="ListParagraph">
    <w:name w:val="List Paragraph"/>
    <w:basedOn w:val="Normal"/>
    <w:uiPriority w:val="34"/>
    <w:qFormat/>
    <w:rsid w:val="007B6013"/>
    <w:pPr>
      <w:ind w:left="720"/>
      <w:contextualSpacing/>
    </w:pPr>
  </w:style>
  <w:style w:type="paragraph" w:styleId="Revision">
    <w:name w:val="Revision"/>
    <w:hidden/>
    <w:uiPriority w:val="99"/>
    <w:semiHidden/>
    <w:rsid w:val="00A409F1"/>
    <w:pPr>
      <w:spacing w:after="0" w:line="240" w:lineRule="auto"/>
    </w:pPr>
  </w:style>
  <w:style w:type="table" w:styleId="TableGrid">
    <w:name w:val="Table Grid"/>
    <w:basedOn w:val="TableNormal"/>
    <w:uiPriority w:val="39"/>
    <w:rsid w:val="00A657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657C5"/>
  </w:style>
  <w:style w:type="paragraph" w:customStyle="1" w:styleId="CM1">
    <w:name w:val="CM1"/>
    <w:basedOn w:val="Normal"/>
    <w:next w:val="Normal"/>
    <w:uiPriority w:val="99"/>
    <w:rsid w:val="00A01392"/>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A01392"/>
    <w:pPr>
      <w:autoSpaceDE w:val="0"/>
      <w:autoSpaceDN w:val="0"/>
      <w:adjustRightInd w:val="0"/>
      <w:spacing w:after="0" w:line="240" w:lineRule="auto"/>
    </w:pPr>
    <w:rPr>
      <w:rFonts w:ascii="Times New Roman" w:hAnsi="Times New Roman" w:cs="Times New Roman"/>
      <w:sz w:val="24"/>
      <w:szCs w:val="24"/>
    </w:rPr>
  </w:style>
  <w:style w:type="character" w:customStyle="1" w:styleId="cf01">
    <w:name w:val="cf01"/>
    <w:basedOn w:val="DefaultParagraphFont"/>
    <w:rsid w:val="002F7E63"/>
    <w:rPr>
      <w:rFonts w:ascii="Segoe UI" w:hAnsi="Segoe UI" w:cs="Segoe UI" w:hint="default"/>
      <w:sz w:val="18"/>
      <w:szCs w:val="18"/>
    </w:rPr>
  </w:style>
  <w:style w:type="paragraph" w:customStyle="1" w:styleId="title-gr-seq-level-5">
    <w:name w:val="title-gr-seq-level-5"/>
    <w:basedOn w:val="Normal"/>
    <w:rsid w:val="001102F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gr-seq-level-6">
    <w:name w:val="title-gr-seq-level-6"/>
    <w:basedOn w:val="Normal"/>
    <w:rsid w:val="001102F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orm">
    <w:name w:val="norm"/>
    <w:basedOn w:val="Normal"/>
    <w:rsid w:val="001102F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item-none">
    <w:name w:val="item-none"/>
    <w:basedOn w:val="Normal"/>
    <w:rsid w:val="001102F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ormal2">
    <w:name w:val="Normal2"/>
    <w:basedOn w:val="Normal"/>
    <w:rsid w:val="001102FE"/>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1">
    <w:name w:val="List1"/>
    <w:basedOn w:val="Normal"/>
    <w:rsid w:val="0097600C"/>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uiPriority w:val="9"/>
    <w:rsid w:val="00401005"/>
    <w:rPr>
      <w:rFonts w:asciiTheme="majorHAnsi" w:eastAsiaTheme="majorEastAsia" w:hAnsiTheme="majorHAnsi" w:cstheme="majorBidi"/>
      <w:color w:val="2F5496" w:themeColor="accent1" w:themeShade="BF"/>
      <w:sz w:val="32"/>
      <w:szCs w:val="32"/>
    </w:rPr>
  </w:style>
  <w:style w:type="paragraph" w:customStyle="1" w:styleId="title-article-norm">
    <w:name w:val="title-article-norm"/>
    <w:basedOn w:val="Normal"/>
    <w:rsid w:val="002C538D"/>
    <w:pPr>
      <w:spacing w:before="240" w:after="120" w:line="240" w:lineRule="auto"/>
      <w:jc w:val="center"/>
    </w:pPr>
    <w:rPr>
      <w:rFonts w:ascii="Times New Roman" w:eastAsia="Times New Roman" w:hAnsi="Times New Roman" w:cs="Times New Roman"/>
      <w:i/>
      <w:iCs/>
      <w:sz w:val="24"/>
      <w:szCs w:val="24"/>
      <w:lang w:val="en-US"/>
    </w:rPr>
  </w:style>
  <w:style w:type="paragraph" w:customStyle="1" w:styleId="tt">
    <w:name w:val="tt"/>
    <w:basedOn w:val="Normal"/>
    <w:rsid w:val="00F427F5"/>
    <w:pPr>
      <w:spacing w:before="100" w:beforeAutospacing="1" w:after="100" w:afterAutospacing="1" w:line="240" w:lineRule="auto"/>
    </w:pPr>
    <w:rPr>
      <w:rFonts w:ascii="Times New Roman" w:eastAsia="Times New Roman" w:hAnsi="Times New Roman" w:cs="Times New Roman"/>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892">
      <w:bodyDiv w:val="1"/>
      <w:marLeft w:val="0"/>
      <w:marRight w:val="0"/>
      <w:marTop w:val="0"/>
      <w:marBottom w:val="0"/>
      <w:divBdr>
        <w:top w:val="none" w:sz="0" w:space="0" w:color="auto"/>
        <w:left w:val="none" w:sz="0" w:space="0" w:color="auto"/>
        <w:bottom w:val="none" w:sz="0" w:space="0" w:color="auto"/>
        <w:right w:val="none" w:sz="0" w:space="0" w:color="auto"/>
      </w:divBdr>
    </w:div>
    <w:div w:id="146288937">
      <w:bodyDiv w:val="1"/>
      <w:marLeft w:val="0"/>
      <w:marRight w:val="0"/>
      <w:marTop w:val="0"/>
      <w:marBottom w:val="0"/>
      <w:divBdr>
        <w:top w:val="none" w:sz="0" w:space="0" w:color="auto"/>
        <w:left w:val="none" w:sz="0" w:space="0" w:color="auto"/>
        <w:bottom w:val="none" w:sz="0" w:space="0" w:color="auto"/>
        <w:right w:val="none" w:sz="0" w:space="0" w:color="auto"/>
      </w:divBdr>
      <w:divsChild>
        <w:div w:id="1697658806">
          <w:marLeft w:val="720"/>
          <w:marRight w:val="0"/>
          <w:marTop w:val="0"/>
          <w:marBottom w:val="0"/>
          <w:divBdr>
            <w:top w:val="none" w:sz="0" w:space="0" w:color="auto"/>
            <w:left w:val="none" w:sz="0" w:space="0" w:color="auto"/>
            <w:bottom w:val="none" w:sz="0" w:space="0" w:color="auto"/>
            <w:right w:val="none" w:sz="0" w:space="0" w:color="auto"/>
          </w:divBdr>
        </w:div>
        <w:div w:id="648170392">
          <w:marLeft w:val="0"/>
          <w:marRight w:val="0"/>
          <w:marTop w:val="0"/>
          <w:marBottom w:val="0"/>
          <w:divBdr>
            <w:top w:val="none" w:sz="0" w:space="0" w:color="auto"/>
            <w:left w:val="none" w:sz="0" w:space="0" w:color="auto"/>
            <w:bottom w:val="none" w:sz="0" w:space="0" w:color="auto"/>
            <w:right w:val="none" w:sz="0" w:space="0" w:color="auto"/>
          </w:divBdr>
        </w:div>
        <w:div w:id="1400982086">
          <w:marLeft w:val="0"/>
          <w:marRight w:val="0"/>
          <w:marTop w:val="0"/>
          <w:marBottom w:val="0"/>
          <w:divBdr>
            <w:top w:val="none" w:sz="0" w:space="0" w:color="auto"/>
            <w:left w:val="none" w:sz="0" w:space="0" w:color="auto"/>
            <w:bottom w:val="none" w:sz="0" w:space="0" w:color="auto"/>
            <w:right w:val="none" w:sz="0" w:space="0" w:color="auto"/>
          </w:divBdr>
        </w:div>
      </w:divsChild>
    </w:div>
    <w:div w:id="257913704">
      <w:bodyDiv w:val="1"/>
      <w:marLeft w:val="0"/>
      <w:marRight w:val="0"/>
      <w:marTop w:val="0"/>
      <w:marBottom w:val="0"/>
      <w:divBdr>
        <w:top w:val="none" w:sz="0" w:space="0" w:color="auto"/>
        <w:left w:val="none" w:sz="0" w:space="0" w:color="auto"/>
        <w:bottom w:val="none" w:sz="0" w:space="0" w:color="auto"/>
        <w:right w:val="none" w:sz="0" w:space="0" w:color="auto"/>
      </w:divBdr>
      <w:divsChild>
        <w:div w:id="439643951">
          <w:marLeft w:val="720"/>
          <w:marRight w:val="0"/>
          <w:marTop w:val="0"/>
          <w:marBottom w:val="0"/>
          <w:divBdr>
            <w:top w:val="none" w:sz="0" w:space="0" w:color="auto"/>
            <w:left w:val="none" w:sz="0" w:space="0" w:color="auto"/>
            <w:bottom w:val="none" w:sz="0" w:space="0" w:color="auto"/>
            <w:right w:val="none" w:sz="0" w:space="0" w:color="auto"/>
          </w:divBdr>
        </w:div>
      </w:divsChild>
    </w:div>
    <w:div w:id="312300205">
      <w:bodyDiv w:val="1"/>
      <w:marLeft w:val="0"/>
      <w:marRight w:val="0"/>
      <w:marTop w:val="0"/>
      <w:marBottom w:val="0"/>
      <w:divBdr>
        <w:top w:val="none" w:sz="0" w:space="0" w:color="auto"/>
        <w:left w:val="none" w:sz="0" w:space="0" w:color="auto"/>
        <w:bottom w:val="none" w:sz="0" w:space="0" w:color="auto"/>
        <w:right w:val="none" w:sz="0" w:space="0" w:color="auto"/>
      </w:divBdr>
    </w:div>
    <w:div w:id="320892402">
      <w:bodyDiv w:val="1"/>
      <w:marLeft w:val="0"/>
      <w:marRight w:val="0"/>
      <w:marTop w:val="0"/>
      <w:marBottom w:val="0"/>
      <w:divBdr>
        <w:top w:val="none" w:sz="0" w:space="0" w:color="auto"/>
        <w:left w:val="none" w:sz="0" w:space="0" w:color="auto"/>
        <w:bottom w:val="none" w:sz="0" w:space="0" w:color="auto"/>
        <w:right w:val="none" w:sz="0" w:space="0" w:color="auto"/>
      </w:divBdr>
    </w:div>
    <w:div w:id="458228028">
      <w:bodyDiv w:val="1"/>
      <w:marLeft w:val="0"/>
      <w:marRight w:val="0"/>
      <w:marTop w:val="0"/>
      <w:marBottom w:val="0"/>
      <w:divBdr>
        <w:top w:val="none" w:sz="0" w:space="0" w:color="auto"/>
        <w:left w:val="none" w:sz="0" w:space="0" w:color="auto"/>
        <w:bottom w:val="none" w:sz="0" w:space="0" w:color="auto"/>
        <w:right w:val="none" w:sz="0" w:space="0" w:color="auto"/>
      </w:divBdr>
    </w:div>
    <w:div w:id="579104114">
      <w:bodyDiv w:val="1"/>
      <w:marLeft w:val="0"/>
      <w:marRight w:val="0"/>
      <w:marTop w:val="0"/>
      <w:marBottom w:val="0"/>
      <w:divBdr>
        <w:top w:val="none" w:sz="0" w:space="0" w:color="auto"/>
        <w:left w:val="none" w:sz="0" w:space="0" w:color="auto"/>
        <w:bottom w:val="none" w:sz="0" w:space="0" w:color="auto"/>
        <w:right w:val="none" w:sz="0" w:space="0" w:color="auto"/>
      </w:divBdr>
    </w:div>
    <w:div w:id="596324901">
      <w:bodyDiv w:val="1"/>
      <w:marLeft w:val="0"/>
      <w:marRight w:val="0"/>
      <w:marTop w:val="0"/>
      <w:marBottom w:val="0"/>
      <w:divBdr>
        <w:top w:val="none" w:sz="0" w:space="0" w:color="auto"/>
        <w:left w:val="none" w:sz="0" w:space="0" w:color="auto"/>
        <w:bottom w:val="none" w:sz="0" w:space="0" w:color="auto"/>
        <w:right w:val="none" w:sz="0" w:space="0" w:color="auto"/>
      </w:divBdr>
    </w:div>
    <w:div w:id="645547784">
      <w:bodyDiv w:val="1"/>
      <w:marLeft w:val="0"/>
      <w:marRight w:val="0"/>
      <w:marTop w:val="0"/>
      <w:marBottom w:val="0"/>
      <w:divBdr>
        <w:top w:val="none" w:sz="0" w:space="0" w:color="auto"/>
        <w:left w:val="none" w:sz="0" w:space="0" w:color="auto"/>
        <w:bottom w:val="none" w:sz="0" w:space="0" w:color="auto"/>
        <w:right w:val="none" w:sz="0" w:space="0" w:color="auto"/>
      </w:divBdr>
    </w:div>
    <w:div w:id="682709146">
      <w:bodyDiv w:val="1"/>
      <w:marLeft w:val="0"/>
      <w:marRight w:val="0"/>
      <w:marTop w:val="0"/>
      <w:marBottom w:val="0"/>
      <w:divBdr>
        <w:top w:val="none" w:sz="0" w:space="0" w:color="auto"/>
        <w:left w:val="none" w:sz="0" w:space="0" w:color="auto"/>
        <w:bottom w:val="none" w:sz="0" w:space="0" w:color="auto"/>
        <w:right w:val="none" w:sz="0" w:space="0" w:color="auto"/>
      </w:divBdr>
    </w:div>
    <w:div w:id="700589468">
      <w:bodyDiv w:val="1"/>
      <w:marLeft w:val="0"/>
      <w:marRight w:val="0"/>
      <w:marTop w:val="0"/>
      <w:marBottom w:val="0"/>
      <w:divBdr>
        <w:top w:val="none" w:sz="0" w:space="0" w:color="auto"/>
        <w:left w:val="none" w:sz="0" w:space="0" w:color="auto"/>
        <w:bottom w:val="none" w:sz="0" w:space="0" w:color="auto"/>
        <w:right w:val="none" w:sz="0" w:space="0" w:color="auto"/>
      </w:divBdr>
    </w:div>
    <w:div w:id="721752061">
      <w:bodyDiv w:val="1"/>
      <w:marLeft w:val="0"/>
      <w:marRight w:val="0"/>
      <w:marTop w:val="0"/>
      <w:marBottom w:val="0"/>
      <w:divBdr>
        <w:top w:val="none" w:sz="0" w:space="0" w:color="auto"/>
        <w:left w:val="none" w:sz="0" w:space="0" w:color="auto"/>
        <w:bottom w:val="none" w:sz="0" w:space="0" w:color="auto"/>
        <w:right w:val="none" w:sz="0" w:space="0" w:color="auto"/>
      </w:divBdr>
      <w:divsChild>
        <w:div w:id="18434215">
          <w:marLeft w:val="720"/>
          <w:marRight w:val="0"/>
          <w:marTop w:val="0"/>
          <w:marBottom w:val="0"/>
          <w:divBdr>
            <w:top w:val="none" w:sz="0" w:space="0" w:color="auto"/>
            <w:left w:val="none" w:sz="0" w:space="0" w:color="auto"/>
            <w:bottom w:val="none" w:sz="0" w:space="0" w:color="auto"/>
            <w:right w:val="none" w:sz="0" w:space="0" w:color="auto"/>
          </w:divBdr>
        </w:div>
        <w:div w:id="1446583248">
          <w:marLeft w:val="720"/>
          <w:marRight w:val="0"/>
          <w:marTop w:val="0"/>
          <w:marBottom w:val="0"/>
          <w:divBdr>
            <w:top w:val="none" w:sz="0" w:space="0" w:color="auto"/>
            <w:left w:val="none" w:sz="0" w:space="0" w:color="auto"/>
            <w:bottom w:val="none" w:sz="0" w:space="0" w:color="auto"/>
            <w:right w:val="none" w:sz="0" w:space="0" w:color="auto"/>
          </w:divBdr>
        </w:div>
        <w:div w:id="2091542248">
          <w:marLeft w:val="720"/>
          <w:marRight w:val="0"/>
          <w:marTop w:val="0"/>
          <w:marBottom w:val="0"/>
          <w:divBdr>
            <w:top w:val="none" w:sz="0" w:space="0" w:color="auto"/>
            <w:left w:val="none" w:sz="0" w:space="0" w:color="auto"/>
            <w:bottom w:val="none" w:sz="0" w:space="0" w:color="auto"/>
            <w:right w:val="none" w:sz="0" w:space="0" w:color="auto"/>
          </w:divBdr>
        </w:div>
        <w:div w:id="578639157">
          <w:marLeft w:val="0"/>
          <w:marRight w:val="0"/>
          <w:marTop w:val="0"/>
          <w:marBottom w:val="0"/>
          <w:divBdr>
            <w:top w:val="none" w:sz="0" w:space="0" w:color="auto"/>
            <w:left w:val="none" w:sz="0" w:space="0" w:color="auto"/>
            <w:bottom w:val="none" w:sz="0" w:space="0" w:color="auto"/>
            <w:right w:val="none" w:sz="0" w:space="0" w:color="auto"/>
          </w:divBdr>
        </w:div>
        <w:div w:id="2039812502">
          <w:marLeft w:val="0"/>
          <w:marRight w:val="0"/>
          <w:marTop w:val="0"/>
          <w:marBottom w:val="0"/>
          <w:divBdr>
            <w:top w:val="none" w:sz="0" w:space="0" w:color="auto"/>
            <w:left w:val="none" w:sz="0" w:space="0" w:color="auto"/>
            <w:bottom w:val="none" w:sz="0" w:space="0" w:color="auto"/>
            <w:right w:val="none" w:sz="0" w:space="0" w:color="auto"/>
          </w:divBdr>
        </w:div>
      </w:divsChild>
    </w:div>
    <w:div w:id="836311668">
      <w:bodyDiv w:val="1"/>
      <w:marLeft w:val="0"/>
      <w:marRight w:val="0"/>
      <w:marTop w:val="0"/>
      <w:marBottom w:val="0"/>
      <w:divBdr>
        <w:top w:val="none" w:sz="0" w:space="0" w:color="auto"/>
        <w:left w:val="none" w:sz="0" w:space="0" w:color="auto"/>
        <w:bottom w:val="none" w:sz="0" w:space="0" w:color="auto"/>
        <w:right w:val="none" w:sz="0" w:space="0" w:color="auto"/>
      </w:divBdr>
      <w:divsChild>
        <w:div w:id="1674187900">
          <w:marLeft w:val="0"/>
          <w:marRight w:val="0"/>
          <w:marTop w:val="0"/>
          <w:marBottom w:val="0"/>
          <w:divBdr>
            <w:top w:val="none" w:sz="0" w:space="0" w:color="auto"/>
            <w:left w:val="none" w:sz="0" w:space="0" w:color="auto"/>
            <w:bottom w:val="none" w:sz="0" w:space="0" w:color="auto"/>
            <w:right w:val="none" w:sz="0" w:space="0" w:color="auto"/>
          </w:divBdr>
        </w:div>
        <w:div w:id="1025866401">
          <w:marLeft w:val="0"/>
          <w:marRight w:val="0"/>
          <w:marTop w:val="0"/>
          <w:marBottom w:val="0"/>
          <w:divBdr>
            <w:top w:val="none" w:sz="0" w:space="0" w:color="auto"/>
            <w:left w:val="none" w:sz="0" w:space="0" w:color="auto"/>
            <w:bottom w:val="none" w:sz="0" w:space="0" w:color="auto"/>
            <w:right w:val="none" w:sz="0" w:space="0" w:color="auto"/>
          </w:divBdr>
        </w:div>
      </w:divsChild>
    </w:div>
    <w:div w:id="860167991">
      <w:bodyDiv w:val="1"/>
      <w:marLeft w:val="0"/>
      <w:marRight w:val="0"/>
      <w:marTop w:val="0"/>
      <w:marBottom w:val="0"/>
      <w:divBdr>
        <w:top w:val="none" w:sz="0" w:space="0" w:color="auto"/>
        <w:left w:val="none" w:sz="0" w:space="0" w:color="auto"/>
        <w:bottom w:val="none" w:sz="0" w:space="0" w:color="auto"/>
        <w:right w:val="none" w:sz="0" w:space="0" w:color="auto"/>
      </w:divBdr>
      <w:divsChild>
        <w:div w:id="1899707386">
          <w:marLeft w:val="720"/>
          <w:marRight w:val="0"/>
          <w:marTop w:val="0"/>
          <w:marBottom w:val="0"/>
          <w:divBdr>
            <w:top w:val="none" w:sz="0" w:space="0" w:color="auto"/>
            <w:left w:val="none" w:sz="0" w:space="0" w:color="auto"/>
            <w:bottom w:val="none" w:sz="0" w:space="0" w:color="auto"/>
            <w:right w:val="none" w:sz="0" w:space="0" w:color="auto"/>
          </w:divBdr>
        </w:div>
        <w:div w:id="1225026875">
          <w:marLeft w:val="0"/>
          <w:marRight w:val="0"/>
          <w:marTop w:val="0"/>
          <w:marBottom w:val="0"/>
          <w:divBdr>
            <w:top w:val="none" w:sz="0" w:space="0" w:color="auto"/>
            <w:left w:val="none" w:sz="0" w:space="0" w:color="auto"/>
            <w:bottom w:val="none" w:sz="0" w:space="0" w:color="auto"/>
            <w:right w:val="none" w:sz="0" w:space="0" w:color="auto"/>
          </w:divBdr>
        </w:div>
        <w:div w:id="188571406">
          <w:marLeft w:val="0"/>
          <w:marRight w:val="0"/>
          <w:marTop w:val="0"/>
          <w:marBottom w:val="0"/>
          <w:divBdr>
            <w:top w:val="none" w:sz="0" w:space="0" w:color="auto"/>
            <w:left w:val="none" w:sz="0" w:space="0" w:color="auto"/>
            <w:bottom w:val="none" w:sz="0" w:space="0" w:color="auto"/>
            <w:right w:val="none" w:sz="0" w:space="0" w:color="auto"/>
          </w:divBdr>
        </w:div>
      </w:divsChild>
    </w:div>
    <w:div w:id="941305380">
      <w:bodyDiv w:val="1"/>
      <w:marLeft w:val="0"/>
      <w:marRight w:val="0"/>
      <w:marTop w:val="0"/>
      <w:marBottom w:val="0"/>
      <w:divBdr>
        <w:top w:val="none" w:sz="0" w:space="0" w:color="auto"/>
        <w:left w:val="none" w:sz="0" w:space="0" w:color="auto"/>
        <w:bottom w:val="none" w:sz="0" w:space="0" w:color="auto"/>
        <w:right w:val="none" w:sz="0" w:space="0" w:color="auto"/>
      </w:divBdr>
    </w:div>
    <w:div w:id="1180897015">
      <w:bodyDiv w:val="1"/>
      <w:marLeft w:val="0"/>
      <w:marRight w:val="0"/>
      <w:marTop w:val="0"/>
      <w:marBottom w:val="0"/>
      <w:divBdr>
        <w:top w:val="none" w:sz="0" w:space="0" w:color="auto"/>
        <w:left w:val="none" w:sz="0" w:space="0" w:color="auto"/>
        <w:bottom w:val="none" w:sz="0" w:space="0" w:color="auto"/>
        <w:right w:val="none" w:sz="0" w:space="0" w:color="auto"/>
      </w:divBdr>
    </w:div>
    <w:div w:id="1222473948">
      <w:bodyDiv w:val="1"/>
      <w:marLeft w:val="0"/>
      <w:marRight w:val="0"/>
      <w:marTop w:val="0"/>
      <w:marBottom w:val="0"/>
      <w:divBdr>
        <w:top w:val="none" w:sz="0" w:space="0" w:color="auto"/>
        <w:left w:val="none" w:sz="0" w:space="0" w:color="auto"/>
        <w:bottom w:val="none" w:sz="0" w:space="0" w:color="auto"/>
        <w:right w:val="none" w:sz="0" w:space="0" w:color="auto"/>
      </w:divBdr>
    </w:div>
    <w:div w:id="1310860865">
      <w:bodyDiv w:val="1"/>
      <w:marLeft w:val="0"/>
      <w:marRight w:val="0"/>
      <w:marTop w:val="0"/>
      <w:marBottom w:val="0"/>
      <w:divBdr>
        <w:top w:val="none" w:sz="0" w:space="0" w:color="auto"/>
        <w:left w:val="none" w:sz="0" w:space="0" w:color="auto"/>
        <w:bottom w:val="none" w:sz="0" w:space="0" w:color="auto"/>
        <w:right w:val="none" w:sz="0" w:space="0" w:color="auto"/>
      </w:divBdr>
    </w:div>
    <w:div w:id="1374964903">
      <w:bodyDiv w:val="1"/>
      <w:marLeft w:val="0"/>
      <w:marRight w:val="0"/>
      <w:marTop w:val="0"/>
      <w:marBottom w:val="0"/>
      <w:divBdr>
        <w:top w:val="none" w:sz="0" w:space="0" w:color="auto"/>
        <w:left w:val="none" w:sz="0" w:space="0" w:color="auto"/>
        <w:bottom w:val="none" w:sz="0" w:space="0" w:color="auto"/>
        <w:right w:val="none" w:sz="0" w:space="0" w:color="auto"/>
      </w:divBdr>
      <w:divsChild>
        <w:div w:id="471479919">
          <w:marLeft w:val="0"/>
          <w:marRight w:val="0"/>
          <w:marTop w:val="0"/>
          <w:marBottom w:val="0"/>
          <w:divBdr>
            <w:top w:val="none" w:sz="0" w:space="0" w:color="auto"/>
            <w:left w:val="none" w:sz="0" w:space="0" w:color="auto"/>
            <w:bottom w:val="none" w:sz="0" w:space="0" w:color="auto"/>
            <w:right w:val="none" w:sz="0" w:space="0" w:color="auto"/>
          </w:divBdr>
        </w:div>
      </w:divsChild>
    </w:div>
    <w:div w:id="1398625643">
      <w:bodyDiv w:val="1"/>
      <w:marLeft w:val="0"/>
      <w:marRight w:val="0"/>
      <w:marTop w:val="0"/>
      <w:marBottom w:val="0"/>
      <w:divBdr>
        <w:top w:val="none" w:sz="0" w:space="0" w:color="auto"/>
        <w:left w:val="none" w:sz="0" w:space="0" w:color="auto"/>
        <w:bottom w:val="none" w:sz="0" w:space="0" w:color="auto"/>
        <w:right w:val="none" w:sz="0" w:space="0" w:color="auto"/>
      </w:divBdr>
      <w:divsChild>
        <w:div w:id="2061126062">
          <w:marLeft w:val="720"/>
          <w:marRight w:val="0"/>
          <w:marTop w:val="0"/>
          <w:marBottom w:val="0"/>
          <w:divBdr>
            <w:top w:val="none" w:sz="0" w:space="0" w:color="auto"/>
            <w:left w:val="none" w:sz="0" w:space="0" w:color="auto"/>
            <w:bottom w:val="none" w:sz="0" w:space="0" w:color="auto"/>
            <w:right w:val="none" w:sz="0" w:space="0" w:color="auto"/>
          </w:divBdr>
        </w:div>
        <w:div w:id="1254631254">
          <w:marLeft w:val="0"/>
          <w:marRight w:val="0"/>
          <w:marTop w:val="0"/>
          <w:marBottom w:val="0"/>
          <w:divBdr>
            <w:top w:val="none" w:sz="0" w:space="0" w:color="auto"/>
            <w:left w:val="none" w:sz="0" w:space="0" w:color="auto"/>
            <w:bottom w:val="none" w:sz="0" w:space="0" w:color="auto"/>
            <w:right w:val="none" w:sz="0" w:space="0" w:color="auto"/>
          </w:divBdr>
          <w:divsChild>
            <w:div w:id="779957998">
              <w:marLeft w:val="240"/>
              <w:marRight w:val="0"/>
              <w:marTop w:val="0"/>
              <w:marBottom w:val="0"/>
              <w:divBdr>
                <w:top w:val="none" w:sz="0" w:space="0" w:color="auto"/>
                <w:left w:val="none" w:sz="0" w:space="0" w:color="auto"/>
                <w:bottom w:val="none" w:sz="0" w:space="0" w:color="auto"/>
                <w:right w:val="none" w:sz="0" w:space="0" w:color="auto"/>
              </w:divBdr>
            </w:div>
            <w:div w:id="1745684020">
              <w:marLeft w:val="240"/>
              <w:marRight w:val="0"/>
              <w:marTop w:val="0"/>
              <w:marBottom w:val="0"/>
              <w:divBdr>
                <w:top w:val="none" w:sz="0" w:space="0" w:color="auto"/>
                <w:left w:val="none" w:sz="0" w:space="0" w:color="auto"/>
                <w:bottom w:val="none" w:sz="0" w:space="0" w:color="auto"/>
                <w:right w:val="none" w:sz="0" w:space="0" w:color="auto"/>
              </w:divBdr>
            </w:div>
            <w:div w:id="223491741">
              <w:marLeft w:val="240"/>
              <w:marRight w:val="0"/>
              <w:marTop w:val="0"/>
              <w:marBottom w:val="0"/>
              <w:divBdr>
                <w:top w:val="none" w:sz="0" w:space="0" w:color="auto"/>
                <w:left w:val="none" w:sz="0" w:space="0" w:color="auto"/>
                <w:bottom w:val="none" w:sz="0" w:space="0" w:color="auto"/>
                <w:right w:val="none" w:sz="0" w:space="0" w:color="auto"/>
              </w:divBdr>
            </w:div>
            <w:div w:id="953098404">
              <w:marLeft w:val="240"/>
              <w:marRight w:val="0"/>
              <w:marTop w:val="0"/>
              <w:marBottom w:val="0"/>
              <w:divBdr>
                <w:top w:val="none" w:sz="0" w:space="0" w:color="auto"/>
                <w:left w:val="none" w:sz="0" w:space="0" w:color="auto"/>
                <w:bottom w:val="none" w:sz="0" w:space="0" w:color="auto"/>
                <w:right w:val="none" w:sz="0" w:space="0" w:color="auto"/>
              </w:divBdr>
            </w:div>
            <w:div w:id="1206452375">
              <w:marLeft w:val="240"/>
              <w:marRight w:val="0"/>
              <w:marTop w:val="0"/>
              <w:marBottom w:val="0"/>
              <w:divBdr>
                <w:top w:val="none" w:sz="0" w:space="0" w:color="auto"/>
                <w:left w:val="none" w:sz="0" w:space="0" w:color="auto"/>
                <w:bottom w:val="none" w:sz="0" w:space="0" w:color="auto"/>
                <w:right w:val="none" w:sz="0" w:space="0" w:color="auto"/>
              </w:divBdr>
            </w:div>
            <w:div w:id="631792065">
              <w:marLeft w:val="240"/>
              <w:marRight w:val="0"/>
              <w:marTop w:val="0"/>
              <w:marBottom w:val="0"/>
              <w:divBdr>
                <w:top w:val="none" w:sz="0" w:space="0" w:color="auto"/>
                <w:left w:val="none" w:sz="0" w:space="0" w:color="auto"/>
                <w:bottom w:val="none" w:sz="0" w:space="0" w:color="auto"/>
                <w:right w:val="none" w:sz="0" w:space="0" w:color="auto"/>
              </w:divBdr>
            </w:div>
          </w:divsChild>
        </w:div>
        <w:div w:id="1156415025">
          <w:marLeft w:val="0"/>
          <w:marRight w:val="0"/>
          <w:marTop w:val="0"/>
          <w:marBottom w:val="0"/>
          <w:divBdr>
            <w:top w:val="none" w:sz="0" w:space="0" w:color="auto"/>
            <w:left w:val="none" w:sz="0" w:space="0" w:color="auto"/>
            <w:bottom w:val="none" w:sz="0" w:space="0" w:color="auto"/>
            <w:right w:val="none" w:sz="0" w:space="0" w:color="auto"/>
          </w:divBdr>
        </w:div>
      </w:divsChild>
    </w:div>
    <w:div w:id="1421020779">
      <w:bodyDiv w:val="1"/>
      <w:marLeft w:val="0"/>
      <w:marRight w:val="0"/>
      <w:marTop w:val="0"/>
      <w:marBottom w:val="0"/>
      <w:divBdr>
        <w:top w:val="none" w:sz="0" w:space="0" w:color="auto"/>
        <w:left w:val="none" w:sz="0" w:space="0" w:color="auto"/>
        <w:bottom w:val="none" w:sz="0" w:space="0" w:color="auto"/>
        <w:right w:val="none" w:sz="0" w:space="0" w:color="auto"/>
      </w:divBdr>
      <w:divsChild>
        <w:div w:id="556935563">
          <w:marLeft w:val="720"/>
          <w:marRight w:val="0"/>
          <w:marTop w:val="0"/>
          <w:marBottom w:val="0"/>
          <w:divBdr>
            <w:top w:val="none" w:sz="0" w:space="0" w:color="auto"/>
            <w:left w:val="none" w:sz="0" w:space="0" w:color="auto"/>
            <w:bottom w:val="none" w:sz="0" w:space="0" w:color="auto"/>
            <w:right w:val="none" w:sz="0" w:space="0" w:color="auto"/>
          </w:divBdr>
        </w:div>
        <w:div w:id="1324238661">
          <w:marLeft w:val="720"/>
          <w:marRight w:val="0"/>
          <w:marTop w:val="0"/>
          <w:marBottom w:val="0"/>
          <w:divBdr>
            <w:top w:val="none" w:sz="0" w:space="0" w:color="auto"/>
            <w:left w:val="none" w:sz="0" w:space="0" w:color="auto"/>
            <w:bottom w:val="none" w:sz="0" w:space="0" w:color="auto"/>
            <w:right w:val="none" w:sz="0" w:space="0" w:color="auto"/>
          </w:divBdr>
        </w:div>
        <w:div w:id="864751916">
          <w:marLeft w:val="720"/>
          <w:marRight w:val="0"/>
          <w:marTop w:val="0"/>
          <w:marBottom w:val="0"/>
          <w:divBdr>
            <w:top w:val="none" w:sz="0" w:space="0" w:color="auto"/>
            <w:left w:val="none" w:sz="0" w:space="0" w:color="auto"/>
            <w:bottom w:val="none" w:sz="0" w:space="0" w:color="auto"/>
            <w:right w:val="none" w:sz="0" w:space="0" w:color="auto"/>
          </w:divBdr>
        </w:div>
      </w:divsChild>
    </w:div>
    <w:div w:id="1526941260">
      <w:bodyDiv w:val="1"/>
      <w:marLeft w:val="0"/>
      <w:marRight w:val="0"/>
      <w:marTop w:val="0"/>
      <w:marBottom w:val="0"/>
      <w:divBdr>
        <w:top w:val="none" w:sz="0" w:space="0" w:color="auto"/>
        <w:left w:val="none" w:sz="0" w:space="0" w:color="auto"/>
        <w:bottom w:val="none" w:sz="0" w:space="0" w:color="auto"/>
        <w:right w:val="none" w:sz="0" w:space="0" w:color="auto"/>
      </w:divBdr>
      <w:divsChild>
        <w:div w:id="646084443">
          <w:marLeft w:val="720"/>
          <w:marRight w:val="0"/>
          <w:marTop w:val="0"/>
          <w:marBottom w:val="0"/>
          <w:divBdr>
            <w:top w:val="none" w:sz="0" w:space="0" w:color="auto"/>
            <w:left w:val="none" w:sz="0" w:space="0" w:color="auto"/>
            <w:bottom w:val="none" w:sz="0" w:space="0" w:color="auto"/>
            <w:right w:val="none" w:sz="0" w:space="0" w:color="auto"/>
          </w:divBdr>
        </w:div>
        <w:div w:id="284778022">
          <w:marLeft w:val="720"/>
          <w:marRight w:val="0"/>
          <w:marTop w:val="0"/>
          <w:marBottom w:val="0"/>
          <w:divBdr>
            <w:top w:val="none" w:sz="0" w:space="0" w:color="auto"/>
            <w:left w:val="none" w:sz="0" w:space="0" w:color="auto"/>
            <w:bottom w:val="none" w:sz="0" w:space="0" w:color="auto"/>
            <w:right w:val="none" w:sz="0" w:space="0" w:color="auto"/>
          </w:divBdr>
        </w:div>
        <w:div w:id="2055083886">
          <w:marLeft w:val="720"/>
          <w:marRight w:val="0"/>
          <w:marTop w:val="0"/>
          <w:marBottom w:val="0"/>
          <w:divBdr>
            <w:top w:val="none" w:sz="0" w:space="0" w:color="auto"/>
            <w:left w:val="none" w:sz="0" w:space="0" w:color="auto"/>
            <w:bottom w:val="none" w:sz="0" w:space="0" w:color="auto"/>
            <w:right w:val="none" w:sz="0" w:space="0" w:color="auto"/>
          </w:divBdr>
        </w:div>
      </w:divsChild>
    </w:div>
    <w:div w:id="1608196109">
      <w:bodyDiv w:val="1"/>
      <w:marLeft w:val="0"/>
      <w:marRight w:val="0"/>
      <w:marTop w:val="0"/>
      <w:marBottom w:val="0"/>
      <w:divBdr>
        <w:top w:val="none" w:sz="0" w:space="0" w:color="auto"/>
        <w:left w:val="none" w:sz="0" w:space="0" w:color="auto"/>
        <w:bottom w:val="none" w:sz="0" w:space="0" w:color="auto"/>
        <w:right w:val="none" w:sz="0" w:space="0" w:color="auto"/>
      </w:divBdr>
    </w:div>
    <w:div w:id="1673601137">
      <w:bodyDiv w:val="1"/>
      <w:marLeft w:val="0"/>
      <w:marRight w:val="0"/>
      <w:marTop w:val="0"/>
      <w:marBottom w:val="0"/>
      <w:divBdr>
        <w:top w:val="none" w:sz="0" w:space="0" w:color="auto"/>
        <w:left w:val="none" w:sz="0" w:space="0" w:color="auto"/>
        <w:bottom w:val="none" w:sz="0" w:space="0" w:color="auto"/>
        <w:right w:val="none" w:sz="0" w:space="0" w:color="auto"/>
      </w:divBdr>
    </w:div>
    <w:div w:id="1775709376">
      <w:bodyDiv w:val="1"/>
      <w:marLeft w:val="0"/>
      <w:marRight w:val="0"/>
      <w:marTop w:val="0"/>
      <w:marBottom w:val="0"/>
      <w:divBdr>
        <w:top w:val="none" w:sz="0" w:space="0" w:color="auto"/>
        <w:left w:val="none" w:sz="0" w:space="0" w:color="auto"/>
        <w:bottom w:val="none" w:sz="0" w:space="0" w:color="auto"/>
        <w:right w:val="none" w:sz="0" w:space="0" w:color="auto"/>
      </w:divBdr>
    </w:div>
    <w:div w:id="1786464679">
      <w:bodyDiv w:val="1"/>
      <w:marLeft w:val="0"/>
      <w:marRight w:val="0"/>
      <w:marTop w:val="0"/>
      <w:marBottom w:val="0"/>
      <w:divBdr>
        <w:top w:val="none" w:sz="0" w:space="0" w:color="auto"/>
        <w:left w:val="none" w:sz="0" w:space="0" w:color="auto"/>
        <w:bottom w:val="none" w:sz="0" w:space="0" w:color="auto"/>
        <w:right w:val="none" w:sz="0" w:space="0" w:color="auto"/>
      </w:divBdr>
      <w:divsChild>
        <w:div w:id="249124487">
          <w:marLeft w:val="0"/>
          <w:marRight w:val="0"/>
          <w:marTop w:val="0"/>
          <w:marBottom w:val="0"/>
          <w:divBdr>
            <w:top w:val="none" w:sz="0" w:space="0" w:color="auto"/>
            <w:left w:val="none" w:sz="0" w:space="0" w:color="auto"/>
            <w:bottom w:val="none" w:sz="0" w:space="0" w:color="auto"/>
            <w:right w:val="none" w:sz="0" w:space="0" w:color="auto"/>
          </w:divBdr>
        </w:div>
        <w:div w:id="1478495453">
          <w:marLeft w:val="0"/>
          <w:marRight w:val="0"/>
          <w:marTop w:val="0"/>
          <w:marBottom w:val="0"/>
          <w:divBdr>
            <w:top w:val="none" w:sz="0" w:space="0" w:color="auto"/>
            <w:left w:val="none" w:sz="0" w:space="0" w:color="auto"/>
            <w:bottom w:val="none" w:sz="0" w:space="0" w:color="auto"/>
            <w:right w:val="none" w:sz="0" w:space="0" w:color="auto"/>
          </w:divBdr>
        </w:div>
        <w:div w:id="1739326829">
          <w:marLeft w:val="0"/>
          <w:marRight w:val="0"/>
          <w:marTop w:val="0"/>
          <w:marBottom w:val="0"/>
          <w:divBdr>
            <w:top w:val="none" w:sz="0" w:space="0" w:color="auto"/>
            <w:left w:val="none" w:sz="0" w:space="0" w:color="auto"/>
            <w:bottom w:val="none" w:sz="0" w:space="0" w:color="auto"/>
            <w:right w:val="none" w:sz="0" w:space="0" w:color="auto"/>
          </w:divBdr>
        </w:div>
        <w:div w:id="1683043165">
          <w:marLeft w:val="0"/>
          <w:marRight w:val="0"/>
          <w:marTop w:val="0"/>
          <w:marBottom w:val="0"/>
          <w:divBdr>
            <w:top w:val="none" w:sz="0" w:space="0" w:color="auto"/>
            <w:left w:val="none" w:sz="0" w:space="0" w:color="auto"/>
            <w:bottom w:val="none" w:sz="0" w:space="0" w:color="auto"/>
            <w:right w:val="none" w:sz="0" w:space="0" w:color="auto"/>
          </w:divBdr>
        </w:div>
        <w:div w:id="286199306">
          <w:marLeft w:val="0"/>
          <w:marRight w:val="0"/>
          <w:marTop w:val="0"/>
          <w:marBottom w:val="0"/>
          <w:divBdr>
            <w:top w:val="none" w:sz="0" w:space="0" w:color="auto"/>
            <w:left w:val="none" w:sz="0" w:space="0" w:color="auto"/>
            <w:bottom w:val="none" w:sz="0" w:space="0" w:color="auto"/>
            <w:right w:val="none" w:sz="0" w:space="0" w:color="auto"/>
          </w:divBdr>
        </w:div>
        <w:div w:id="876426555">
          <w:marLeft w:val="0"/>
          <w:marRight w:val="0"/>
          <w:marTop w:val="0"/>
          <w:marBottom w:val="0"/>
          <w:divBdr>
            <w:top w:val="none" w:sz="0" w:space="0" w:color="auto"/>
            <w:left w:val="none" w:sz="0" w:space="0" w:color="auto"/>
            <w:bottom w:val="none" w:sz="0" w:space="0" w:color="auto"/>
            <w:right w:val="none" w:sz="0" w:space="0" w:color="auto"/>
          </w:divBdr>
        </w:div>
        <w:div w:id="737551603">
          <w:marLeft w:val="0"/>
          <w:marRight w:val="0"/>
          <w:marTop w:val="0"/>
          <w:marBottom w:val="0"/>
          <w:divBdr>
            <w:top w:val="none" w:sz="0" w:space="0" w:color="auto"/>
            <w:left w:val="none" w:sz="0" w:space="0" w:color="auto"/>
            <w:bottom w:val="none" w:sz="0" w:space="0" w:color="auto"/>
            <w:right w:val="none" w:sz="0" w:space="0" w:color="auto"/>
          </w:divBdr>
        </w:div>
        <w:div w:id="613056221">
          <w:marLeft w:val="0"/>
          <w:marRight w:val="0"/>
          <w:marTop w:val="0"/>
          <w:marBottom w:val="0"/>
          <w:divBdr>
            <w:top w:val="none" w:sz="0" w:space="0" w:color="auto"/>
            <w:left w:val="none" w:sz="0" w:space="0" w:color="auto"/>
            <w:bottom w:val="none" w:sz="0" w:space="0" w:color="auto"/>
            <w:right w:val="none" w:sz="0" w:space="0" w:color="auto"/>
          </w:divBdr>
        </w:div>
        <w:div w:id="1335494853">
          <w:marLeft w:val="0"/>
          <w:marRight w:val="0"/>
          <w:marTop w:val="0"/>
          <w:marBottom w:val="0"/>
          <w:divBdr>
            <w:top w:val="none" w:sz="0" w:space="0" w:color="auto"/>
            <w:left w:val="none" w:sz="0" w:space="0" w:color="auto"/>
            <w:bottom w:val="none" w:sz="0" w:space="0" w:color="auto"/>
            <w:right w:val="none" w:sz="0" w:space="0" w:color="auto"/>
          </w:divBdr>
        </w:div>
      </w:divsChild>
    </w:div>
    <w:div w:id="1820077331">
      <w:bodyDiv w:val="1"/>
      <w:marLeft w:val="0"/>
      <w:marRight w:val="0"/>
      <w:marTop w:val="0"/>
      <w:marBottom w:val="0"/>
      <w:divBdr>
        <w:top w:val="none" w:sz="0" w:space="0" w:color="auto"/>
        <w:left w:val="none" w:sz="0" w:space="0" w:color="auto"/>
        <w:bottom w:val="none" w:sz="0" w:space="0" w:color="auto"/>
        <w:right w:val="none" w:sz="0" w:space="0" w:color="auto"/>
      </w:divBdr>
      <w:divsChild>
        <w:div w:id="101920760">
          <w:marLeft w:val="720"/>
          <w:marRight w:val="0"/>
          <w:marTop w:val="0"/>
          <w:marBottom w:val="0"/>
          <w:divBdr>
            <w:top w:val="none" w:sz="0" w:space="0" w:color="auto"/>
            <w:left w:val="none" w:sz="0" w:space="0" w:color="auto"/>
            <w:bottom w:val="none" w:sz="0" w:space="0" w:color="auto"/>
            <w:right w:val="none" w:sz="0" w:space="0" w:color="auto"/>
          </w:divBdr>
        </w:div>
        <w:div w:id="183444855">
          <w:marLeft w:val="0"/>
          <w:marRight w:val="0"/>
          <w:marTop w:val="0"/>
          <w:marBottom w:val="0"/>
          <w:divBdr>
            <w:top w:val="none" w:sz="0" w:space="0" w:color="auto"/>
            <w:left w:val="none" w:sz="0" w:space="0" w:color="auto"/>
            <w:bottom w:val="none" w:sz="0" w:space="0" w:color="auto"/>
            <w:right w:val="none" w:sz="0" w:space="0" w:color="auto"/>
          </w:divBdr>
        </w:div>
        <w:div w:id="989285577">
          <w:marLeft w:val="0"/>
          <w:marRight w:val="0"/>
          <w:marTop w:val="0"/>
          <w:marBottom w:val="0"/>
          <w:divBdr>
            <w:top w:val="none" w:sz="0" w:space="0" w:color="auto"/>
            <w:left w:val="none" w:sz="0" w:space="0" w:color="auto"/>
            <w:bottom w:val="none" w:sz="0" w:space="0" w:color="auto"/>
            <w:right w:val="none" w:sz="0" w:space="0" w:color="auto"/>
          </w:divBdr>
        </w:div>
      </w:divsChild>
    </w:div>
    <w:div w:id="1854758506">
      <w:bodyDiv w:val="1"/>
      <w:marLeft w:val="0"/>
      <w:marRight w:val="0"/>
      <w:marTop w:val="0"/>
      <w:marBottom w:val="0"/>
      <w:divBdr>
        <w:top w:val="none" w:sz="0" w:space="0" w:color="auto"/>
        <w:left w:val="none" w:sz="0" w:space="0" w:color="auto"/>
        <w:bottom w:val="none" w:sz="0" w:space="0" w:color="auto"/>
        <w:right w:val="none" w:sz="0" w:space="0" w:color="auto"/>
      </w:divBdr>
      <w:divsChild>
        <w:div w:id="1046755101">
          <w:marLeft w:val="720"/>
          <w:marRight w:val="0"/>
          <w:marTop w:val="0"/>
          <w:marBottom w:val="0"/>
          <w:divBdr>
            <w:top w:val="none" w:sz="0" w:space="0" w:color="auto"/>
            <w:left w:val="none" w:sz="0" w:space="0" w:color="auto"/>
            <w:bottom w:val="none" w:sz="0" w:space="0" w:color="auto"/>
            <w:right w:val="none" w:sz="0" w:space="0" w:color="auto"/>
          </w:divBdr>
        </w:div>
        <w:div w:id="2109690218">
          <w:marLeft w:val="720"/>
          <w:marRight w:val="0"/>
          <w:marTop w:val="0"/>
          <w:marBottom w:val="0"/>
          <w:divBdr>
            <w:top w:val="none" w:sz="0" w:space="0" w:color="auto"/>
            <w:left w:val="none" w:sz="0" w:space="0" w:color="auto"/>
            <w:bottom w:val="none" w:sz="0" w:space="0" w:color="auto"/>
            <w:right w:val="none" w:sz="0" w:space="0" w:color="auto"/>
          </w:divBdr>
        </w:div>
        <w:div w:id="706487848">
          <w:marLeft w:val="0"/>
          <w:marRight w:val="0"/>
          <w:marTop w:val="0"/>
          <w:marBottom w:val="0"/>
          <w:divBdr>
            <w:top w:val="none" w:sz="0" w:space="0" w:color="auto"/>
            <w:left w:val="none" w:sz="0" w:space="0" w:color="auto"/>
            <w:bottom w:val="none" w:sz="0" w:space="0" w:color="auto"/>
            <w:right w:val="none" w:sz="0" w:space="0" w:color="auto"/>
          </w:divBdr>
          <w:divsChild>
            <w:div w:id="1920629280">
              <w:marLeft w:val="240"/>
              <w:marRight w:val="0"/>
              <w:marTop w:val="0"/>
              <w:marBottom w:val="0"/>
              <w:divBdr>
                <w:top w:val="none" w:sz="0" w:space="0" w:color="auto"/>
                <w:left w:val="none" w:sz="0" w:space="0" w:color="auto"/>
                <w:bottom w:val="none" w:sz="0" w:space="0" w:color="auto"/>
                <w:right w:val="none" w:sz="0" w:space="0" w:color="auto"/>
              </w:divBdr>
            </w:div>
            <w:div w:id="955284826">
              <w:marLeft w:val="240"/>
              <w:marRight w:val="0"/>
              <w:marTop w:val="0"/>
              <w:marBottom w:val="0"/>
              <w:divBdr>
                <w:top w:val="none" w:sz="0" w:space="0" w:color="auto"/>
                <w:left w:val="none" w:sz="0" w:space="0" w:color="auto"/>
                <w:bottom w:val="none" w:sz="0" w:space="0" w:color="auto"/>
                <w:right w:val="none" w:sz="0" w:space="0" w:color="auto"/>
              </w:divBdr>
            </w:div>
            <w:div w:id="4060712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7879883">
      <w:bodyDiv w:val="1"/>
      <w:marLeft w:val="0"/>
      <w:marRight w:val="0"/>
      <w:marTop w:val="0"/>
      <w:marBottom w:val="0"/>
      <w:divBdr>
        <w:top w:val="none" w:sz="0" w:space="0" w:color="auto"/>
        <w:left w:val="none" w:sz="0" w:space="0" w:color="auto"/>
        <w:bottom w:val="none" w:sz="0" w:space="0" w:color="auto"/>
        <w:right w:val="none" w:sz="0" w:space="0" w:color="auto"/>
      </w:divBdr>
      <w:divsChild>
        <w:div w:id="222181808">
          <w:marLeft w:val="720"/>
          <w:marRight w:val="0"/>
          <w:marTop w:val="0"/>
          <w:marBottom w:val="0"/>
          <w:divBdr>
            <w:top w:val="none" w:sz="0" w:space="0" w:color="auto"/>
            <w:left w:val="none" w:sz="0" w:space="0" w:color="auto"/>
            <w:bottom w:val="none" w:sz="0" w:space="0" w:color="auto"/>
            <w:right w:val="none" w:sz="0" w:space="0" w:color="auto"/>
          </w:divBdr>
        </w:div>
        <w:div w:id="762802995">
          <w:marLeft w:val="720"/>
          <w:marRight w:val="0"/>
          <w:marTop w:val="0"/>
          <w:marBottom w:val="0"/>
          <w:divBdr>
            <w:top w:val="none" w:sz="0" w:space="0" w:color="auto"/>
            <w:left w:val="none" w:sz="0" w:space="0" w:color="auto"/>
            <w:bottom w:val="none" w:sz="0" w:space="0" w:color="auto"/>
            <w:right w:val="none" w:sz="0" w:space="0" w:color="auto"/>
          </w:divBdr>
        </w:div>
        <w:div w:id="654068053">
          <w:marLeft w:val="720"/>
          <w:marRight w:val="0"/>
          <w:marTop w:val="0"/>
          <w:marBottom w:val="0"/>
          <w:divBdr>
            <w:top w:val="none" w:sz="0" w:space="0" w:color="auto"/>
            <w:left w:val="none" w:sz="0" w:space="0" w:color="auto"/>
            <w:bottom w:val="none" w:sz="0" w:space="0" w:color="auto"/>
            <w:right w:val="none" w:sz="0" w:space="0" w:color="auto"/>
          </w:divBdr>
        </w:div>
        <w:div w:id="2027096061">
          <w:marLeft w:val="0"/>
          <w:marRight w:val="0"/>
          <w:marTop w:val="0"/>
          <w:marBottom w:val="0"/>
          <w:divBdr>
            <w:top w:val="none" w:sz="0" w:space="0" w:color="auto"/>
            <w:left w:val="none" w:sz="0" w:space="0" w:color="auto"/>
            <w:bottom w:val="none" w:sz="0" w:space="0" w:color="auto"/>
            <w:right w:val="none" w:sz="0" w:space="0" w:color="auto"/>
          </w:divBdr>
        </w:div>
        <w:div w:id="1618440783">
          <w:marLeft w:val="0"/>
          <w:marRight w:val="0"/>
          <w:marTop w:val="0"/>
          <w:marBottom w:val="0"/>
          <w:divBdr>
            <w:top w:val="none" w:sz="0" w:space="0" w:color="auto"/>
            <w:left w:val="none" w:sz="0" w:space="0" w:color="auto"/>
            <w:bottom w:val="none" w:sz="0" w:space="0" w:color="auto"/>
            <w:right w:val="none" w:sz="0" w:space="0" w:color="auto"/>
          </w:divBdr>
        </w:div>
      </w:divsChild>
    </w:div>
    <w:div w:id="1975140750">
      <w:bodyDiv w:val="1"/>
      <w:marLeft w:val="0"/>
      <w:marRight w:val="0"/>
      <w:marTop w:val="0"/>
      <w:marBottom w:val="0"/>
      <w:divBdr>
        <w:top w:val="none" w:sz="0" w:space="0" w:color="auto"/>
        <w:left w:val="none" w:sz="0" w:space="0" w:color="auto"/>
        <w:bottom w:val="none" w:sz="0" w:space="0" w:color="auto"/>
        <w:right w:val="none" w:sz="0" w:space="0" w:color="auto"/>
      </w:divBdr>
    </w:div>
    <w:div w:id="2071420196">
      <w:bodyDiv w:val="1"/>
      <w:marLeft w:val="0"/>
      <w:marRight w:val="0"/>
      <w:marTop w:val="0"/>
      <w:marBottom w:val="0"/>
      <w:divBdr>
        <w:top w:val="none" w:sz="0" w:space="0" w:color="auto"/>
        <w:left w:val="none" w:sz="0" w:space="0" w:color="auto"/>
        <w:bottom w:val="none" w:sz="0" w:space="0" w:color="auto"/>
        <w:right w:val="none" w:sz="0" w:space="0" w:color="auto"/>
      </w:divBdr>
    </w:div>
    <w:div w:id="2089113835">
      <w:bodyDiv w:val="1"/>
      <w:marLeft w:val="0"/>
      <w:marRight w:val="0"/>
      <w:marTop w:val="0"/>
      <w:marBottom w:val="0"/>
      <w:divBdr>
        <w:top w:val="none" w:sz="0" w:space="0" w:color="auto"/>
        <w:left w:val="none" w:sz="0" w:space="0" w:color="auto"/>
        <w:bottom w:val="none" w:sz="0" w:space="0" w:color="auto"/>
        <w:right w:val="none" w:sz="0" w:space="0" w:color="auto"/>
      </w:divBdr>
      <w:divsChild>
        <w:div w:id="112410395">
          <w:marLeft w:val="720"/>
          <w:marRight w:val="0"/>
          <w:marTop w:val="0"/>
          <w:marBottom w:val="0"/>
          <w:divBdr>
            <w:top w:val="none" w:sz="0" w:space="0" w:color="auto"/>
            <w:left w:val="none" w:sz="0" w:space="0" w:color="auto"/>
            <w:bottom w:val="none" w:sz="0" w:space="0" w:color="auto"/>
            <w:right w:val="none" w:sz="0" w:space="0" w:color="auto"/>
          </w:divBdr>
        </w:div>
        <w:div w:id="2032024003">
          <w:marLeft w:val="720"/>
          <w:marRight w:val="0"/>
          <w:marTop w:val="0"/>
          <w:marBottom w:val="0"/>
          <w:divBdr>
            <w:top w:val="none" w:sz="0" w:space="0" w:color="auto"/>
            <w:left w:val="none" w:sz="0" w:space="0" w:color="auto"/>
            <w:bottom w:val="none" w:sz="0" w:space="0" w:color="auto"/>
            <w:right w:val="none" w:sz="0" w:space="0" w:color="auto"/>
          </w:divBdr>
        </w:div>
      </w:divsChild>
    </w:div>
    <w:div w:id="2113933384">
      <w:bodyDiv w:val="1"/>
      <w:marLeft w:val="0"/>
      <w:marRight w:val="0"/>
      <w:marTop w:val="0"/>
      <w:marBottom w:val="0"/>
      <w:divBdr>
        <w:top w:val="none" w:sz="0" w:space="0" w:color="auto"/>
        <w:left w:val="none" w:sz="0" w:space="0" w:color="auto"/>
        <w:bottom w:val="none" w:sz="0" w:space="0" w:color="auto"/>
        <w:right w:val="none" w:sz="0" w:space="0" w:color="auto"/>
      </w:divBdr>
      <w:divsChild>
        <w:div w:id="725378864">
          <w:marLeft w:val="0"/>
          <w:marRight w:val="0"/>
          <w:marTop w:val="0"/>
          <w:marBottom w:val="0"/>
          <w:divBdr>
            <w:top w:val="none" w:sz="0" w:space="0" w:color="auto"/>
            <w:left w:val="none" w:sz="0" w:space="0" w:color="auto"/>
            <w:bottom w:val="none" w:sz="0" w:space="0" w:color="auto"/>
            <w:right w:val="none" w:sz="0" w:space="0" w:color="auto"/>
          </w:divBdr>
        </w:div>
        <w:div w:id="1909538200">
          <w:marLeft w:val="0"/>
          <w:marRight w:val="0"/>
          <w:marTop w:val="0"/>
          <w:marBottom w:val="0"/>
          <w:divBdr>
            <w:top w:val="none" w:sz="0" w:space="0" w:color="auto"/>
            <w:left w:val="none" w:sz="0" w:space="0" w:color="auto"/>
            <w:bottom w:val="none" w:sz="0" w:space="0" w:color="auto"/>
            <w:right w:val="none" w:sz="0" w:space="0" w:color="auto"/>
          </w:divBdr>
        </w:div>
      </w:divsChild>
    </w:div>
    <w:div w:id="2116440357">
      <w:bodyDiv w:val="1"/>
      <w:marLeft w:val="0"/>
      <w:marRight w:val="0"/>
      <w:marTop w:val="0"/>
      <w:marBottom w:val="0"/>
      <w:divBdr>
        <w:top w:val="none" w:sz="0" w:space="0" w:color="auto"/>
        <w:left w:val="none" w:sz="0" w:space="0" w:color="auto"/>
        <w:bottom w:val="none" w:sz="0" w:space="0" w:color="auto"/>
        <w:right w:val="none" w:sz="0" w:space="0" w:color="auto"/>
      </w:divBdr>
      <w:divsChild>
        <w:div w:id="1431244073">
          <w:marLeft w:val="0"/>
          <w:marRight w:val="0"/>
          <w:marTop w:val="0"/>
          <w:marBottom w:val="0"/>
          <w:divBdr>
            <w:top w:val="none" w:sz="0" w:space="0" w:color="auto"/>
            <w:left w:val="none" w:sz="0" w:space="0" w:color="auto"/>
            <w:bottom w:val="none" w:sz="0" w:space="0" w:color="auto"/>
            <w:right w:val="none" w:sz="0" w:space="0" w:color="auto"/>
          </w:divBdr>
        </w:div>
      </w:divsChild>
    </w:div>
    <w:div w:id="2118716025">
      <w:bodyDiv w:val="1"/>
      <w:marLeft w:val="0"/>
      <w:marRight w:val="0"/>
      <w:marTop w:val="0"/>
      <w:marBottom w:val="0"/>
      <w:divBdr>
        <w:top w:val="none" w:sz="0" w:space="0" w:color="auto"/>
        <w:left w:val="none" w:sz="0" w:space="0" w:color="auto"/>
        <w:bottom w:val="none" w:sz="0" w:space="0" w:color="auto"/>
        <w:right w:val="none" w:sz="0" w:space="0" w:color="auto"/>
      </w:divBdr>
      <w:divsChild>
        <w:div w:id="834884067">
          <w:marLeft w:val="600"/>
          <w:marRight w:val="0"/>
          <w:marTop w:val="0"/>
          <w:marBottom w:val="0"/>
          <w:divBdr>
            <w:top w:val="none" w:sz="0" w:space="0" w:color="auto"/>
            <w:left w:val="none" w:sz="0" w:space="0" w:color="auto"/>
            <w:bottom w:val="none" w:sz="0" w:space="0" w:color="auto"/>
            <w:right w:val="none" w:sz="0" w:space="0" w:color="auto"/>
          </w:divBdr>
        </w:div>
        <w:div w:id="2142116448">
          <w:marLeft w:val="600"/>
          <w:marRight w:val="0"/>
          <w:marTop w:val="0"/>
          <w:marBottom w:val="0"/>
          <w:divBdr>
            <w:top w:val="none" w:sz="0" w:space="0" w:color="auto"/>
            <w:left w:val="none" w:sz="0" w:space="0" w:color="auto"/>
            <w:bottom w:val="none" w:sz="0" w:space="0" w:color="auto"/>
            <w:right w:val="none" w:sz="0" w:space="0" w:color="auto"/>
          </w:divBdr>
        </w:div>
        <w:div w:id="1841768481">
          <w:marLeft w:val="600"/>
          <w:marRight w:val="0"/>
          <w:marTop w:val="0"/>
          <w:marBottom w:val="0"/>
          <w:divBdr>
            <w:top w:val="none" w:sz="0" w:space="0" w:color="auto"/>
            <w:left w:val="none" w:sz="0" w:space="0" w:color="auto"/>
            <w:bottom w:val="none" w:sz="0" w:space="0" w:color="auto"/>
            <w:right w:val="none" w:sz="0" w:space="0" w:color="auto"/>
          </w:divBdr>
        </w:div>
        <w:div w:id="282349194">
          <w:marLeft w:val="600"/>
          <w:marRight w:val="0"/>
          <w:marTop w:val="0"/>
          <w:marBottom w:val="0"/>
          <w:divBdr>
            <w:top w:val="none" w:sz="0" w:space="0" w:color="auto"/>
            <w:left w:val="none" w:sz="0" w:space="0" w:color="auto"/>
            <w:bottom w:val="none" w:sz="0" w:space="0" w:color="auto"/>
            <w:right w:val="none" w:sz="0" w:space="0" w:color="auto"/>
          </w:divBdr>
        </w:div>
        <w:div w:id="436145241">
          <w:marLeft w:val="600"/>
          <w:marRight w:val="0"/>
          <w:marTop w:val="0"/>
          <w:marBottom w:val="0"/>
          <w:divBdr>
            <w:top w:val="none" w:sz="0" w:space="0" w:color="auto"/>
            <w:left w:val="none" w:sz="0" w:space="0" w:color="auto"/>
            <w:bottom w:val="none" w:sz="0" w:space="0" w:color="auto"/>
            <w:right w:val="none" w:sz="0" w:space="0" w:color="auto"/>
          </w:divBdr>
        </w:div>
        <w:div w:id="1163278020">
          <w:marLeft w:val="600"/>
          <w:marRight w:val="0"/>
          <w:marTop w:val="0"/>
          <w:marBottom w:val="0"/>
          <w:divBdr>
            <w:top w:val="none" w:sz="0" w:space="0" w:color="auto"/>
            <w:left w:val="none" w:sz="0" w:space="0" w:color="auto"/>
            <w:bottom w:val="none" w:sz="0" w:space="0" w:color="auto"/>
            <w:right w:val="none" w:sz="0" w:space="0" w:color="auto"/>
          </w:divBdr>
        </w:div>
        <w:div w:id="334383429">
          <w:marLeft w:val="600"/>
          <w:marRight w:val="0"/>
          <w:marTop w:val="0"/>
          <w:marBottom w:val="0"/>
          <w:divBdr>
            <w:top w:val="none" w:sz="0" w:space="0" w:color="auto"/>
            <w:left w:val="none" w:sz="0" w:space="0" w:color="auto"/>
            <w:bottom w:val="none" w:sz="0" w:space="0" w:color="auto"/>
            <w:right w:val="none" w:sz="0" w:space="0" w:color="auto"/>
          </w:divBdr>
        </w:div>
        <w:div w:id="9183459">
          <w:marLeft w:val="600"/>
          <w:marRight w:val="0"/>
          <w:marTop w:val="0"/>
          <w:marBottom w:val="0"/>
          <w:divBdr>
            <w:top w:val="none" w:sz="0" w:space="0" w:color="auto"/>
            <w:left w:val="none" w:sz="0" w:space="0" w:color="auto"/>
            <w:bottom w:val="none" w:sz="0" w:space="0" w:color="auto"/>
            <w:right w:val="none" w:sz="0" w:space="0" w:color="auto"/>
          </w:divBdr>
        </w:div>
        <w:div w:id="786509012">
          <w:marLeft w:val="600"/>
          <w:marRight w:val="0"/>
          <w:marTop w:val="0"/>
          <w:marBottom w:val="0"/>
          <w:divBdr>
            <w:top w:val="none" w:sz="0" w:space="0" w:color="auto"/>
            <w:left w:val="none" w:sz="0" w:space="0" w:color="auto"/>
            <w:bottom w:val="none" w:sz="0" w:space="0" w:color="auto"/>
            <w:right w:val="none" w:sz="0" w:space="0" w:color="auto"/>
          </w:divBdr>
        </w:div>
        <w:div w:id="1416131244">
          <w:marLeft w:val="600"/>
          <w:marRight w:val="0"/>
          <w:marTop w:val="0"/>
          <w:marBottom w:val="0"/>
          <w:divBdr>
            <w:top w:val="none" w:sz="0" w:space="0" w:color="auto"/>
            <w:left w:val="none" w:sz="0" w:space="0" w:color="auto"/>
            <w:bottom w:val="none" w:sz="0" w:space="0" w:color="auto"/>
            <w:right w:val="none" w:sz="0" w:space="0" w:color="auto"/>
          </w:divBdr>
        </w:div>
        <w:div w:id="1312251130">
          <w:marLeft w:val="600"/>
          <w:marRight w:val="0"/>
          <w:marTop w:val="0"/>
          <w:marBottom w:val="0"/>
          <w:divBdr>
            <w:top w:val="none" w:sz="0" w:space="0" w:color="auto"/>
            <w:left w:val="none" w:sz="0" w:space="0" w:color="auto"/>
            <w:bottom w:val="none" w:sz="0" w:space="0" w:color="auto"/>
            <w:right w:val="none" w:sz="0" w:space="0" w:color="auto"/>
          </w:divBdr>
        </w:div>
        <w:div w:id="2039618862">
          <w:marLeft w:val="600"/>
          <w:marRight w:val="0"/>
          <w:marTop w:val="0"/>
          <w:marBottom w:val="0"/>
          <w:divBdr>
            <w:top w:val="none" w:sz="0" w:space="0" w:color="auto"/>
            <w:left w:val="none" w:sz="0" w:space="0" w:color="auto"/>
            <w:bottom w:val="none" w:sz="0" w:space="0" w:color="auto"/>
            <w:right w:val="none" w:sz="0" w:space="0" w:color="auto"/>
          </w:divBdr>
        </w:div>
        <w:div w:id="84881832">
          <w:marLeft w:val="0"/>
          <w:marRight w:val="0"/>
          <w:marTop w:val="0"/>
          <w:marBottom w:val="0"/>
          <w:divBdr>
            <w:top w:val="none" w:sz="0" w:space="0" w:color="auto"/>
            <w:left w:val="none" w:sz="0" w:space="0" w:color="auto"/>
            <w:bottom w:val="none" w:sz="0" w:space="0" w:color="auto"/>
            <w:right w:val="none" w:sz="0" w:space="0" w:color="auto"/>
          </w:divBdr>
          <w:divsChild>
            <w:div w:id="195313130">
              <w:marLeft w:val="0"/>
              <w:marRight w:val="0"/>
              <w:marTop w:val="120"/>
              <w:marBottom w:val="0"/>
              <w:divBdr>
                <w:top w:val="none" w:sz="0" w:space="0" w:color="auto"/>
                <w:left w:val="none" w:sz="0" w:space="0" w:color="auto"/>
                <w:bottom w:val="none" w:sz="0" w:space="0" w:color="auto"/>
                <w:right w:val="none" w:sz="0" w:space="0" w:color="auto"/>
              </w:divBdr>
            </w:div>
            <w:div w:id="1151365518">
              <w:marLeft w:val="0"/>
              <w:marRight w:val="0"/>
              <w:marTop w:val="0"/>
              <w:marBottom w:val="0"/>
              <w:divBdr>
                <w:top w:val="none" w:sz="0" w:space="0" w:color="auto"/>
                <w:left w:val="none" w:sz="0" w:space="0" w:color="auto"/>
                <w:bottom w:val="none" w:sz="0" w:space="0" w:color="auto"/>
                <w:right w:val="none" w:sz="0" w:space="0" w:color="auto"/>
              </w:divBdr>
            </w:div>
          </w:divsChild>
        </w:div>
        <w:div w:id="2095660054">
          <w:marLeft w:val="0"/>
          <w:marRight w:val="0"/>
          <w:marTop w:val="0"/>
          <w:marBottom w:val="0"/>
          <w:divBdr>
            <w:top w:val="none" w:sz="0" w:space="0" w:color="auto"/>
            <w:left w:val="none" w:sz="0" w:space="0" w:color="auto"/>
            <w:bottom w:val="none" w:sz="0" w:space="0" w:color="auto"/>
            <w:right w:val="none" w:sz="0" w:space="0" w:color="auto"/>
          </w:divBdr>
          <w:divsChild>
            <w:div w:id="500316946">
              <w:marLeft w:val="0"/>
              <w:marRight w:val="0"/>
              <w:marTop w:val="120"/>
              <w:marBottom w:val="0"/>
              <w:divBdr>
                <w:top w:val="none" w:sz="0" w:space="0" w:color="auto"/>
                <w:left w:val="none" w:sz="0" w:space="0" w:color="auto"/>
                <w:bottom w:val="none" w:sz="0" w:space="0" w:color="auto"/>
                <w:right w:val="none" w:sz="0" w:space="0" w:color="auto"/>
              </w:divBdr>
            </w:div>
            <w:div w:id="729378390">
              <w:marLeft w:val="0"/>
              <w:marRight w:val="0"/>
              <w:marTop w:val="0"/>
              <w:marBottom w:val="0"/>
              <w:divBdr>
                <w:top w:val="none" w:sz="0" w:space="0" w:color="auto"/>
                <w:left w:val="none" w:sz="0" w:space="0" w:color="auto"/>
                <w:bottom w:val="none" w:sz="0" w:space="0" w:color="auto"/>
                <w:right w:val="none" w:sz="0" w:space="0" w:color="auto"/>
              </w:divBdr>
            </w:div>
          </w:divsChild>
        </w:div>
        <w:div w:id="240721666">
          <w:marLeft w:val="0"/>
          <w:marRight w:val="0"/>
          <w:marTop w:val="0"/>
          <w:marBottom w:val="0"/>
          <w:divBdr>
            <w:top w:val="none" w:sz="0" w:space="0" w:color="auto"/>
            <w:left w:val="none" w:sz="0" w:space="0" w:color="auto"/>
            <w:bottom w:val="none" w:sz="0" w:space="0" w:color="auto"/>
            <w:right w:val="none" w:sz="0" w:space="0" w:color="auto"/>
          </w:divBdr>
          <w:divsChild>
            <w:div w:id="878860030">
              <w:marLeft w:val="0"/>
              <w:marRight w:val="0"/>
              <w:marTop w:val="120"/>
              <w:marBottom w:val="0"/>
              <w:divBdr>
                <w:top w:val="none" w:sz="0" w:space="0" w:color="auto"/>
                <w:left w:val="none" w:sz="0" w:space="0" w:color="auto"/>
                <w:bottom w:val="none" w:sz="0" w:space="0" w:color="auto"/>
                <w:right w:val="none" w:sz="0" w:space="0" w:color="auto"/>
              </w:divBdr>
            </w:div>
            <w:div w:id="1948124871">
              <w:marLeft w:val="0"/>
              <w:marRight w:val="0"/>
              <w:marTop w:val="0"/>
              <w:marBottom w:val="0"/>
              <w:divBdr>
                <w:top w:val="none" w:sz="0" w:space="0" w:color="auto"/>
                <w:left w:val="none" w:sz="0" w:space="0" w:color="auto"/>
                <w:bottom w:val="none" w:sz="0" w:space="0" w:color="auto"/>
                <w:right w:val="none" w:sz="0" w:space="0" w:color="auto"/>
              </w:divBdr>
            </w:div>
          </w:divsChild>
        </w:div>
        <w:div w:id="723456257">
          <w:marLeft w:val="0"/>
          <w:marRight w:val="0"/>
          <w:marTop w:val="0"/>
          <w:marBottom w:val="0"/>
          <w:divBdr>
            <w:top w:val="none" w:sz="0" w:space="0" w:color="auto"/>
            <w:left w:val="none" w:sz="0" w:space="0" w:color="auto"/>
            <w:bottom w:val="none" w:sz="0" w:space="0" w:color="auto"/>
            <w:right w:val="none" w:sz="0" w:space="0" w:color="auto"/>
          </w:divBdr>
          <w:divsChild>
            <w:div w:id="676731532">
              <w:marLeft w:val="0"/>
              <w:marRight w:val="0"/>
              <w:marTop w:val="120"/>
              <w:marBottom w:val="0"/>
              <w:divBdr>
                <w:top w:val="none" w:sz="0" w:space="0" w:color="auto"/>
                <w:left w:val="none" w:sz="0" w:space="0" w:color="auto"/>
                <w:bottom w:val="none" w:sz="0" w:space="0" w:color="auto"/>
                <w:right w:val="none" w:sz="0" w:space="0" w:color="auto"/>
              </w:divBdr>
            </w:div>
            <w:div w:id="260603197">
              <w:marLeft w:val="0"/>
              <w:marRight w:val="0"/>
              <w:marTop w:val="0"/>
              <w:marBottom w:val="0"/>
              <w:divBdr>
                <w:top w:val="none" w:sz="0" w:space="0" w:color="auto"/>
                <w:left w:val="none" w:sz="0" w:space="0" w:color="auto"/>
                <w:bottom w:val="none" w:sz="0" w:space="0" w:color="auto"/>
                <w:right w:val="none" w:sz="0" w:space="0" w:color="auto"/>
              </w:divBdr>
            </w:div>
          </w:divsChild>
        </w:div>
        <w:div w:id="220095779">
          <w:marLeft w:val="0"/>
          <w:marRight w:val="0"/>
          <w:marTop w:val="0"/>
          <w:marBottom w:val="0"/>
          <w:divBdr>
            <w:top w:val="none" w:sz="0" w:space="0" w:color="auto"/>
            <w:left w:val="none" w:sz="0" w:space="0" w:color="auto"/>
            <w:bottom w:val="none" w:sz="0" w:space="0" w:color="auto"/>
            <w:right w:val="none" w:sz="0" w:space="0" w:color="auto"/>
          </w:divBdr>
          <w:divsChild>
            <w:div w:id="1698581467">
              <w:marLeft w:val="0"/>
              <w:marRight w:val="0"/>
              <w:marTop w:val="120"/>
              <w:marBottom w:val="0"/>
              <w:divBdr>
                <w:top w:val="none" w:sz="0" w:space="0" w:color="auto"/>
                <w:left w:val="none" w:sz="0" w:space="0" w:color="auto"/>
                <w:bottom w:val="none" w:sz="0" w:space="0" w:color="auto"/>
                <w:right w:val="none" w:sz="0" w:space="0" w:color="auto"/>
              </w:divBdr>
            </w:div>
            <w:div w:id="878130313">
              <w:marLeft w:val="0"/>
              <w:marRight w:val="0"/>
              <w:marTop w:val="0"/>
              <w:marBottom w:val="0"/>
              <w:divBdr>
                <w:top w:val="none" w:sz="0" w:space="0" w:color="auto"/>
                <w:left w:val="none" w:sz="0" w:space="0" w:color="auto"/>
                <w:bottom w:val="none" w:sz="0" w:space="0" w:color="auto"/>
                <w:right w:val="none" w:sz="0" w:space="0" w:color="auto"/>
              </w:divBdr>
            </w:div>
          </w:divsChild>
        </w:div>
        <w:div w:id="1109201937">
          <w:marLeft w:val="0"/>
          <w:marRight w:val="0"/>
          <w:marTop w:val="0"/>
          <w:marBottom w:val="0"/>
          <w:divBdr>
            <w:top w:val="none" w:sz="0" w:space="0" w:color="auto"/>
            <w:left w:val="none" w:sz="0" w:space="0" w:color="auto"/>
            <w:bottom w:val="none" w:sz="0" w:space="0" w:color="auto"/>
            <w:right w:val="none" w:sz="0" w:space="0" w:color="auto"/>
          </w:divBdr>
          <w:divsChild>
            <w:div w:id="415593813">
              <w:marLeft w:val="0"/>
              <w:marRight w:val="0"/>
              <w:marTop w:val="120"/>
              <w:marBottom w:val="0"/>
              <w:divBdr>
                <w:top w:val="none" w:sz="0" w:space="0" w:color="auto"/>
                <w:left w:val="none" w:sz="0" w:space="0" w:color="auto"/>
                <w:bottom w:val="none" w:sz="0" w:space="0" w:color="auto"/>
                <w:right w:val="none" w:sz="0" w:space="0" w:color="auto"/>
              </w:divBdr>
            </w:div>
            <w:div w:id="1654600796">
              <w:marLeft w:val="0"/>
              <w:marRight w:val="0"/>
              <w:marTop w:val="0"/>
              <w:marBottom w:val="0"/>
              <w:divBdr>
                <w:top w:val="none" w:sz="0" w:space="0" w:color="auto"/>
                <w:left w:val="none" w:sz="0" w:space="0" w:color="auto"/>
                <w:bottom w:val="none" w:sz="0" w:space="0" w:color="auto"/>
                <w:right w:val="none" w:sz="0" w:space="0" w:color="auto"/>
              </w:divBdr>
            </w:div>
          </w:divsChild>
        </w:div>
        <w:div w:id="1751924907">
          <w:marLeft w:val="600"/>
          <w:marRight w:val="0"/>
          <w:marTop w:val="0"/>
          <w:marBottom w:val="0"/>
          <w:divBdr>
            <w:top w:val="none" w:sz="0" w:space="0" w:color="auto"/>
            <w:left w:val="none" w:sz="0" w:space="0" w:color="auto"/>
            <w:bottom w:val="none" w:sz="0" w:space="0" w:color="auto"/>
            <w:right w:val="none" w:sz="0" w:space="0" w:color="auto"/>
          </w:divBdr>
        </w:div>
        <w:div w:id="1851261711">
          <w:marLeft w:val="600"/>
          <w:marRight w:val="0"/>
          <w:marTop w:val="0"/>
          <w:marBottom w:val="0"/>
          <w:divBdr>
            <w:top w:val="none" w:sz="0" w:space="0" w:color="auto"/>
            <w:left w:val="none" w:sz="0" w:space="0" w:color="auto"/>
            <w:bottom w:val="none" w:sz="0" w:space="0" w:color="auto"/>
            <w:right w:val="none" w:sz="0" w:space="0" w:color="auto"/>
          </w:divBdr>
        </w:div>
        <w:div w:id="1540782977">
          <w:marLeft w:val="600"/>
          <w:marRight w:val="0"/>
          <w:marTop w:val="0"/>
          <w:marBottom w:val="0"/>
          <w:divBdr>
            <w:top w:val="none" w:sz="0" w:space="0" w:color="auto"/>
            <w:left w:val="none" w:sz="0" w:space="0" w:color="auto"/>
            <w:bottom w:val="none" w:sz="0" w:space="0" w:color="auto"/>
            <w:right w:val="none" w:sz="0" w:space="0" w:color="auto"/>
          </w:divBdr>
        </w:div>
        <w:div w:id="754476553">
          <w:marLeft w:val="600"/>
          <w:marRight w:val="0"/>
          <w:marTop w:val="0"/>
          <w:marBottom w:val="0"/>
          <w:divBdr>
            <w:top w:val="none" w:sz="0" w:space="0" w:color="auto"/>
            <w:left w:val="none" w:sz="0" w:space="0" w:color="auto"/>
            <w:bottom w:val="none" w:sz="0" w:space="0" w:color="auto"/>
            <w:right w:val="none" w:sz="0" w:space="0" w:color="auto"/>
          </w:divBdr>
        </w:div>
        <w:div w:id="326909702">
          <w:marLeft w:val="600"/>
          <w:marRight w:val="0"/>
          <w:marTop w:val="0"/>
          <w:marBottom w:val="0"/>
          <w:divBdr>
            <w:top w:val="none" w:sz="0" w:space="0" w:color="auto"/>
            <w:left w:val="none" w:sz="0" w:space="0" w:color="auto"/>
            <w:bottom w:val="none" w:sz="0" w:space="0" w:color="auto"/>
            <w:right w:val="none" w:sz="0" w:space="0" w:color="auto"/>
          </w:divBdr>
        </w:div>
        <w:div w:id="1628856743">
          <w:marLeft w:val="600"/>
          <w:marRight w:val="0"/>
          <w:marTop w:val="0"/>
          <w:marBottom w:val="0"/>
          <w:divBdr>
            <w:top w:val="none" w:sz="0" w:space="0" w:color="auto"/>
            <w:left w:val="none" w:sz="0" w:space="0" w:color="auto"/>
            <w:bottom w:val="none" w:sz="0" w:space="0" w:color="auto"/>
            <w:right w:val="none" w:sz="0" w:space="0" w:color="auto"/>
          </w:divBdr>
        </w:div>
        <w:div w:id="168061650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header3.xml" Type="http://schemas.openxmlformats.org/officeDocument/2006/relationships/header"/><Relationship Id="rId13" Target="footer2.xml" Type="http://schemas.openxmlformats.org/officeDocument/2006/relationships/footer"/><Relationship Id="rId14" Target="footer3.xml" Type="http://schemas.openxmlformats.org/officeDocument/2006/relationships/footer"/><Relationship Id="rId15" Target="header4.xml" Type="http://schemas.openxmlformats.org/officeDocument/2006/relationships/header"/><Relationship Id="rId16" Target="footer4.xml" Type="http://schemas.openxmlformats.org/officeDocument/2006/relationships/footer"/><Relationship Id="rId17" Target="header5.xml" Type="http://schemas.openxmlformats.org/officeDocument/2006/relationships/header"/><Relationship Id="rId18" Target="header6.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footer6.xml" Type="http://schemas.openxmlformats.org/officeDocument/2006/relationships/footer"/><Relationship Id="rId21" Target="header7.xml" Type="http://schemas.openxmlformats.org/officeDocument/2006/relationships/header"/><Relationship Id="rId22" Target="footer7.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026db52f-508e-42df-b9d9-39e14416ce9a</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F292-8CAF-4D05-8B66-8C220F6D91C9}">
  <ds:schemaRefs>
    <ds:schemaRef ds:uri="http://schemas.titus.com/TitusProperties/"/>
    <ds:schemaRef ds:uri=""/>
  </ds:schemaRefs>
</ds:datastoreItem>
</file>

<file path=customXml/itemProps2.xml><?xml version="1.0" encoding="utf-8"?>
<ds:datastoreItem xmlns:ds="http://schemas.openxmlformats.org/officeDocument/2006/customXml" ds:itemID="{C1183B1C-63D3-4CC9-9F66-BD0359AA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41</Pages>
  <Words>8545</Words>
  <Characters>49561</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57991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2025-09-11T07:56:00Z</dcterms:created>
  <cp:lastPrinted>2025-09-25T12:30:00Z</cp:lastPrinted>
  <dcterms:modified xsi:type="dcterms:W3CDTF">2025-09-26T09:02:00Z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026db52f-508e-42df-b9d9-39e14416ce9a</vt:lpwstr>
  </property>
  <property fmtid="{D5CDD505-2E9C-101B-9397-08002B2CF9AE}" pid="3" name="Clasificare">
    <vt:lpwstr>SP-2</vt:lpwstr>
  </property>
  <property fmtid="{D5CDD505-2E9C-101B-9397-08002B2CF9AE}" pid="4" name="MSIP_Label_38962dcf-d39f-4edc-a396-338a56ba9170_Enabled">
    <vt:lpwstr>true</vt:lpwstr>
  </property>
  <property fmtid="{D5CDD505-2E9C-101B-9397-08002B2CF9AE}" pid="5" name="MSIP_Label_38962dcf-d39f-4edc-a396-338a56ba9170_SetDate">
    <vt:lpwstr>2025-02-27T08:05:09Z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30ad6a17-af7d-4b52-8618-f3afc9206474</vt:lpwstr>
  </property>
  <property fmtid="{D5CDD505-2E9C-101B-9397-08002B2CF9AE}" pid="10" name="MSIP_Label_38962dcf-d39f-4edc-a396-338a56ba9170_ContentBits">
    <vt:lpwstr>0</vt:lpwstr>
  </property>
</Properties>
</file>